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F3F99" w14:textId="11C847F8" w:rsidR="002B07F8" w:rsidRPr="00B16C1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 xml:space="preserve">Objaśnienia przyjętych 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 xml:space="preserve">wartości 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W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ieloletniej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P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rognozie </w:t>
      </w:r>
      <w:r w:rsidR="005605F9" w:rsidRPr="00B16C18">
        <w:rPr>
          <w:rFonts w:ascii="Times New Roman" w:hAnsi="Times New Roman" w:cs="Times New Roman"/>
          <w:b/>
          <w:sz w:val="26"/>
          <w:szCs w:val="26"/>
        </w:rPr>
        <w:t>F</w:t>
      </w:r>
      <w:r w:rsidRPr="00B16C18">
        <w:rPr>
          <w:rFonts w:ascii="Times New Roman" w:hAnsi="Times New Roman" w:cs="Times New Roman"/>
          <w:b/>
          <w:sz w:val="26"/>
          <w:szCs w:val="26"/>
        </w:rPr>
        <w:t>inansowej</w:t>
      </w:r>
    </w:p>
    <w:p w14:paraId="3EA7A759" w14:textId="28E5020B"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18">
        <w:rPr>
          <w:rFonts w:ascii="Times New Roman" w:hAnsi="Times New Roman" w:cs="Times New Roman"/>
          <w:b/>
          <w:sz w:val="26"/>
          <w:szCs w:val="26"/>
        </w:rPr>
        <w:t>Powiatu Świdwińskiego na lata  20</w:t>
      </w:r>
      <w:r w:rsidR="00B065F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="001349C6" w:rsidRPr="00B16C18">
        <w:rPr>
          <w:rFonts w:ascii="Times New Roman" w:hAnsi="Times New Roman" w:cs="Times New Roman"/>
          <w:b/>
          <w:sz w:val="26"/>
          <w:szCs w:val="26"/>
        </w:rPr>
        <w:t>2</w:t>
      </w:r>
      <w:r w:rsidRPr="00B16C18">
        <w:rPr>
          <w:rFonts w:ascii="Times New Roman" w:hAnsi="Times New Roman" w:cs="Times New Roman"/>
          <w:b/>
          <w:sz w:val="26"/>
          <w:szCs w:val="26"/>
        </w:rPr>
        <w:t xml:space="preserve"> – 2027</w:t>
      </w:r>
    </w:p>
    <w:p w14:paraId="15570A94" w14:textId="77777777" w:rsidR="00991BFF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68B26" w14:textId="306676F1" w:rsidR="00844BD2" w:rsidRP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Wieloletni</w:t>
      </w:r>
      <w:r w:rsidR="00CC6F08">
        <w:rPr>
          <w:rFonts w:ascii="Times New Roman" w:hAnsi="Times New Roman" w:cs="Times New Roman"/>
          <w:sz w:val="24"/>
          <w:szCs w:val="24"/>
        </w:rPr>
        <w:t>a</w:t>
      </w:r>
      <w:r w:rsidRPr="00844BD2">
        <w:rPr>
          <w:rFonts w:ascii="Times New Roman" w:hAnsi="Times New Roman" w:cs="Times New Roman"/>
          <w:sz w:val="24"/>
          <w:szCs w:val="24"/>
        </w:rPr>
        <w:t xml:space="preserve"> Prognoz</w:t>
      </w:r>
      <w:r w:rsidR="00CC6F08">
        <w:rPr>
          <w:rFonts w:ascii="Times New Roman" w:hAnsi="Times New Roman" w:cs="Times New Roman"/>
          <w:sz w:val="24"/>
          <w:szCs w:val="24"/>
        </w:rPr>
        <w:t>a</w:t>
      </w:r>
      <w:r w:rsidRPr="00844BD2">
        <w:rPr>
          <w:rFonts w:ascii="Times New Roman" w:hAnsi="Times New Roman" w:cs="Times New Roman"/>
          <w:sz w:val="24"/>
          <w:szCs w:val="24"/>
        </w:rPr>
        <w:t xml:space="preserve"> Finansow</w:t>
      </w:r>
      <w:r w:rsidR="00CC6F08">
        <w:rPr>
          <w:rFonts w:ascii="Times New Roman" w:hAnsi="Times New Roman" w:cs="Times New Roman"/>
          <w:sz w:val="24"/>
          <w:szCs w:val="24"/>
        </w:rPr>
        <w:t>a</w:t>
      </w:r>
      <w:r w:rsidRPr="00844BD2">
        <w:rPr>
          <w:rFonts w:ascii="Times New Roman" w:hAnsi="Times New Roman" w:cs="Times New Roman"/>
          <w:sz w:val="24"/>
          <w:szCs w:val="24"/>
        </w:rPr>
        <w:t xml:space="preserve"> Powiatu Świdwiński</w:t>
      </w:r>
      <w:r w:rsidRPr="00844BD2">
        <w:rPr>
          <w:rFonts w:ascii="Times New Roman" w:hAnsi="Times New Roman"/>
          <w:szCs w:val="24"/>
        </w:rPr>
        <w:t>ego</w:t>
      </w:r>
      <w:r w:rsidRPr="00844BD2">
        <w:rPr>
          <w:rFonts w:ascii="Times New Roman" w:hAnsi="Times New Roman" w:cs="Times New Roman"/>
          <w:sz w:val="24"/>
          <w:szCs w:val="24"/>
        </w:rPr>
        <w:t xml:space="preserve"> </w:t>
      </w:r>
      <w:r w:rsidR="00CC6F08">
        <w:rPr>
          <w:rFonts w:ascii="Times New Roman" w:hAnsi="Times New Roman" w:cs="Times New Roman"/>
          <w:sz w:val="24"/>
          <w:szCs w:val="24"/>
        </w:rPr>
        <w:t xml:space="preserve">została opracowana </w:t>
      </w:r>
      <w:r w:rsidRPr="00844BD2">
        <w:rPr>
          <w:rFonts w:ascii="Times New Roman" w:hAnsi="Times New Roman" w:cs="Times New Roman"/>
          <w:sz w:val="24"/>
          <w:szCs w:val="24"/>
        </w:rPr>
        <w:t>zgodnie z </w:t>
      </w:r>
      <w:r w:rsidRPr="00844BD2">
        <w:rPr>
          <w:rFonts w:ascii="Times New Roman" w:hAnsi="Times New Roman"/>
          <w:szCs w:val="24"/>
        </w:rPr>
        <w:t xml:space="preserve"> r</w:t>
      </w:r>
      <w:r w:rsidRPr="00844BD2">
        <w:rPr>
          <w:rFonts w:ascii="Times New Roman" w:hAnsi="Times New Roman" w:cs="Times New Roman"/>
          <w:sz w:val="24"/>
          <w:szCs w:val="24"/>
        </w:rPr>
        <w:t>ozporządzeniem Ministra Finansów z dnia 10 stycznia 2013 roku w sprawie wieloletniej prognozy finansowej jed</w:t>
      </w:r>
      <w:r w:rsidR="00CC6F08">
        <w:rPr>
          <w:rFonts w:ascii="Times New Roman" w:hAnsi="Times New Roman" w:cs="Times New Roman"/>
          <w:sz w:val="24"/>
          <w:szCs w:val="24"/>
        </w:rPr>
        <w:t xml:space="preserve">nostki samorządu terytorialnego </w:t>
      </w:r>
      <w:r w:rsidRPr="00844BD2">
        <w:rPr>
          <w:rFonts w:ascii="Times New Roman" w:hAnsi="Times New Roman" w:cs="Times New Roman"/>
          <w:sz w:val="24"/>
          <w:szCs w:val="24"/>
        </w:rPr>
        <w:t>z uwzględnieniem zmian wynikających z </w:t>
      </w:r>
      <w:r w:rsidRPr="00844BD2">
        <w:rPr>
          <w:rFonts w:ascii="Times New Roman" w:hAnsi="Times New Roman"/>
          <w:szCs w:val="24"/>
        </w:rPr>
        <w:t>r</w:t>
      </w:r>
      <w:r w:rsidRPr="00844BD2">
        <w:rPr>
          <w:rFonts w:ascii="Times New Roman" w:hAnsi="Times New Roman" w:cs="Times New Roman"/>
          <w:sz w:val="24"/>
          <w:szCs w:val="24"/>
        </w:rPr>
        <w:t>ozporządzenia Ministra Finansów, Inwestycji i Rozwoju z dnia 1 października 2019</w:t>
      </w:r>
      <w:r w:rsidR="00947441">
        <w:rPr>
          <w:rFonts w:ascii="Times New Roman" w:hAnsi="Times New Roman" w:cs="Times New Roman"/>
          <w:sz w:val="24"/>
          <w:szCs w:val="24"/>
        </w:rPr>
        <w:t xml:space="preserve"> roku</w:t>
      </w:r>
      <w:r w:rsidRPr="00844BD2">
        <w:rPr>
          <w:rFonts w:ascii="Times New Roman" w:hAnsi="Times New Roman" w:cs="Times New Roman"/>
          <w:sz w:val="24"/>
          <w:szCs w:val="24"/>
        </w:rPr>
        <w:t xml:space="preserve"> oraz </w:t>
      </w:r>
      <w:r w:rsidR="00D45ED7">
        <w:rPr>
          <w:rFonts w:ascii="Times New Roman" w:hAnsi="Times New Roman" w:cs="Times New Roman"/>
          <w:sz w:val="24"/>
          <w:szCs w:val="24"/>
        </w:rPr>
        <w:t>r</w:t>
      </w:r>
      <w:r w:rsidRPr="00844BD2">
        <w:rPr>
          <w:rFonts w:ascii="Times New Roman" w:hAnsi="Times New Roman" w:cs="Times New Roman"/>
          <w:sz w:val="24"/>
          <w:szCs w:val="24"/>
        </w:rPr>
        <w:t>ozporządzenia Ministra Finansów z dnia 10 sierpnia 2020</w:t>
      </w:r>
      <w:r w:rsidR="00947441">
        <w:rPr>
          <w:rFonts w:ascii="Times New Roman" w:hAnsi="Times New Roman" w:cs="Times New Roman"/>
          <w:sz w:val="24"/>
          <w:szCs w:val="24"/>
        </w:rPr>
        <w:t xml:space="preserve"> roku</w:t>
      </w:r>
      <w:r w:rsidRPr="00844BD2">
        <w:rPr>
          <w:rFonts w:ascii="Times New Roman" w:hAnsi="Times New Roman" w:cs="Times New Roman"/>
          <w:sz w:val="24"/>
          <w:szCs w:val="24"/>
        </w:rPr>
        <w:t xml:space="preserve"> </w:t>
      </w:r>
      <w:r w:rsidR="00CC6F08">
        <w:rPr>
          <w:rFonts w:ascii="Times New Roman" w:hAnsi="Times New Roman" w:cs="Times New Roman"/>
          <w:sz w:val="24"/>
          <w:szCs w:val="24"/>
        </w:rPr>
        <w:t xml:space="preserve">– </w:t>
      </w:r>
      <w:r w:rsidR="00CC6F08" w:rsidRPr="00844BD2">
        <w:rPr>
          <w:rFonts w:ascii="Times New Roman" w:hAnsi="Times New Roman" w:cs="Times New Roman"/>
          <w:sz w:val="24"/>
          <w:szCs w:val="24"/>
        </w:rPr>
        <w:t>załącznik nr 1</w:t>
      </w:r>
      <w:r w:rsidR="00CC6F08">
        <w:rPr>
          <w:rFonts w:ascii="Times New Roman" w:hAnsi="Times New Roman" w:cs="Times New Roman"/>
          <w:sz w:val="24"/>
          <w:szCs w:val="24"/>
        </w:rPr>
        <w:t xml:space="preserve"> oraz załącznik </w:t>
      </w:r>
      <w:r w:rsidR="009474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6F08">
        <w:rPr>
          <w:rFonts w:ascii="Times New Roman" w:hAnsi="Times New Roman" w:cs="Times New Roman"/>
          <w:sz w:val="24"/>
          <w:szCs w:val="24"/>
        </w:rPr>
        <w:t xml:space="preserve">nr 2 </w:t>
      </w:r>
      <w:r w:rsidR="00947441">
        <w:rPr>
          <w:rFonts w:ascii="Times New Roman" w:hAnsi="Times New Roman" w:cs="Times New Roman"/>
          <w:sz w:val="24"/>
          <w:szCs w:val="24"/>
        </w:rPr>
        <w:t xml:space="preserve"> </w:t>
      </w:r>
      <w:r w:rsidR="00CC6F08">
        <w:rPr>
          <w:rFonts w:ascii="Times New Roman" w:hAnsi="Times New Roman" w:cs="Times New Roman"/>
          <w:sz w:val="24"/>
          <w:szCs w:val="24"/>
        </w:rPr>
        <w:t>do uchwały.</w:t>
      </w:r>
    </w:p>
    <w:p w14:paraId="6C56123C" w14:textId="4505470E" w:rsid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Podstawą opracowania Wieloletniej Prognozy Finansowej Powiatu Świdwiński</w:t>
      </w:r>
      <w:r w:rsidRPr="00844BD2">
        <w:rPr>
          <w:rFonts w:ascii="Times New Roman" w:hAnsi="Times New Roman"/>
          <w:szCs w:val="24"/>
        </w:rPr>
        <w:t>ego</w:t>
      </w:r>
      <w:r w:rsidRPr="00844BD2">
        <w:rPr>
          <w:rFonts w:ascii="Times New Roman" w:hAnsi="Times New Roman" w:cs="Times New Roman"/>
          <w:sz w:val="24"/>
          <w:szCs w:val="24"/>
        </w:rPr>
        <w:t xml:space="preserve"> jest projekt uchwały budżetowej na 2022 rok, dane sprawozdawcze z wykonania budżetu Powiatu Świdwiński</w:t>
      </w:r>
      <w:r w:rsidR="00947441">
        <w:rPr>
          <w:rFonts w:ascii="Times New Roman" w:hAnsi="Times New Roman" w:cs="Times New Roman"/>
          <w:sz w:val="24"/>
          <w:szCs w:val="24"/>
        </w:rPr>
        <w:t>ego</w:t>
      </w:r>
      <w:r w:rsidRPr="00844BD2">
        <w:rPr>
          <w:rFonts w:ascii="Times New Roman" w:hAnsi="Times New Roman" w:cs="Times New Roman"/>
          <w:sz w:val="24"/>
          <w:szCs w:val="24"/>
        </w:rPr>
        <w:t xml:space="preserve"> za lata 2019 i 2020, wartości planowane na koniec III kwartału 2021 roku</w:t>
      </w:r>
      <w:r>
        <w:rPr>
          <w:rFonts w:ascii="Times New Roman" w:hAnsi="Times New Roman" w:cs="Times New Roman"/>
          <w:sz w:val="24"/>
          <w:szCs w:val="24"/>
        </w:rPr>
        <w:t>, przewidywane wykonanie roku 2021</w:t>
      </w:r>
      <w:r w:rsidRPr="00844BD2">
        <w:rPr>
          <w:rFonts w:ascii="Times New Roman" w:hAnsi="Times New Roman" w:cs="Times New Roman"/>
          <w:sz w:val="24"/>
          <w:szCs w:val="24"/>
        </w:rPr>
        <w:t xml:space="preserve"> oraz </w:t>
      </w:r>
      <w:r w:rsidRPr="00844BD2">
        <w:rPr>
          <w:rFonts w:ascii="Times New Roman" w:hAnsi="Times New Roman"/>
          <w:szCs w:val="24"/>
        </w:rPr>
        <w:t>w</w:t>
      </w:r>
      <w:r w:rsidRPr="00844BD2">
        <w:rPr>
          <w:rFonts w:ascii="Times New Roman" w:hAnsi="Times New Roman" w:cs="Times New Roman"/>
          <w:sz w:val="24"/>
          <w:szCs w:val="24"/>
        </w:rPr>
        <w:t xml:space="preserve">ytyczne Ministra Finansów dotyczące stosowania jednolitych wskaźników makroekonomicznych, będących podstawą oszacowania skutków finansowych projektowanych ustaw (aktualizacja – sierpień 2021 r.). </w:t>
      </w:r>
    </w:p>
    <w:p w14:paraId="70E48EDA" w14:textId="6F9AADE4" w:rsid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844BD2">
        <w:rPr>
          <w:rFonts w:ascii="Times New Roman" w:hAnsi="Times New Roman" w:cs="Times New Roman"/>
          <w:sz w:val="24"/>
          <w:szCs w:val="24"/>
        </w:rPr>
        <w:t xml:space="preserve">rt. 227 ustawy z dnia 27 sierpnia 2009 roku o finansach publicznych </w:t>
      </w:r>
      <w:r w:rsidR="00CC6F08">
        <w:rPr>
          <w:rFonts w:ascii="Times New Roman" w:hAnsi="Times New Roman" w:cs="Times New Roman"/>
          <w:sz w:val="24"/>
          <w:szCs w:val="24"/>
        </w:rPr>
        <w:t>W</w:t>
      </w:r>
      <w:r w:rsidRPr="00844BD2">
        <w:rPr>
          <w:rFonts w:ascii="Times New Roman" w:hAnsi="Times New Roman" w:cs="Times New Roman"/>
          <w:sz w:val="24"/>
          <w:szCs w:val="24"/>
        </w:rPr>
        <w:t xml:space="preserve">ieloletnia </w:t>
      </w:r>
      <w:r w:rsidR="00CC6F08">
        <w:rPr>
          <w:rFonts w:ascii="Times New Roman" w:hAnsi="Times New Roman" w:cs="Times New Roman"/>
          <w:sz w:val="24"/>
          <w:szCs w:val="24"/>
        </w:rPr>
        <w:t>P</w:t>
      </w:r>
      <w:r w:rsidRPr="00844BD2">
        <w:rPr>
          <w:rFonts w:ascii="Times New Roman" w:hAnsi="Times New Roman" w:cs="Times New Roman"/>
          <w:sz w:val="24"/>
          <w:szCs w:val="24"/>
        </w:rPr>
        <w:t xml:space="preserve">rognoza </w:t>
      </w:r>
      <w:r w:rsidR="00CC6F08">
        <w:rPr>
          <w:rFonts w:ascii="Times New Roman" w:hAnsi="Times New Roman" w:cs="Times New Roman"/>
          <w:sz w:val="24"/>
          <w:szCs w:val="24"/>
        </w:rPr>
        <w:t>F</w:t>
      </w:r>
      <w:r w:rsidRPr="00844BD2">
        <w:rPr>
          <w:rFonts w:ascii="Times New Roman" w:hAnsi="Times New Roman" w:cs="Times New Roman"/>
          <w:sz w:val="24"/>
          <w:szCs w:val="24"/>
        </w:rPr>
        <w:t>inansowa obejmuje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DB561C" w14:textId="2BC77DF3" w:rsidR="00844BD2" w:rsidRDefault="00844BD2" w:rsidP="00CC6F08">
      <w:pPr>
        <w:pStyle w:val="Akapitzlist"/>
        <w:numPr>
          <w:ilvl w:val="1"/>
          <w:numId w:val="1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okres roku budżetowego oraz co najmniej t</w:t>
      </w:r>
      <w:r>
        <w:rPr>
          <w:rFonts w:ascii="Times New Roman" w:hAnsi="Times New Roman" w:cs="Times New Roman"/>
          <w:sz w:val="24"/>
          <w:szCs w:val="24"/>
        </w:rPr>
        <w:t>rzech kolejnych lat budżetowych, tj. rok 2023 do 2025;</w:t>
      </w:r>
    </w:p>
    <w:p w14:paraId="15AFD842" w14:textId="77777777" w:rsidR="00CC6F08" w:rsidRDefault="00844BD2" w:rsidP="00CC6F08">
      <w:pPr>
        <w:pStyle w:val="Akapitzlist"/>
        <w:numPr>
          <w:ilvl w:val="1"/>
          <w:numId w:val="1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prognozę kwoty długu</w:t>
      </w:r>
      <w:r w:rsidR="00CC6F08">
        <w:rPr>
          <w:rFonts w:ascii="Times New Roman" w:hAnsi="Times New Roman" w:cs="Times New Roman"/>
          <w:sz w:val="24"/>
          <w:szCs w:val="24"/>
        </w:rPr>
        <w:t xml:space="preserve"> na okres, </w:t>
      </w:r>
      <w:r w:rsidRPr="00844BD2">
        <w:rPr>
          <w:rFonts w:ascii="Times New Roman" w:hAnsi="Times New Roman" w:cs="Times New Roman"/>
          <w:sz w:val="24"/>
          <w:szCs w:val="24"/>
        </w:rPr>
        <w:t xml:space="preserve">na który zaciągnięto lub planuje się zaciągnąć zobowiązanie. </w:t>
      </w:r>
    </w:p>
    <w:p w14:paraId="4B0F1E18" w14:textId="160816A6" w:rsidR="00844BD2" w:rsidRPr="00CC6F08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F08">
        <w:rPr>
          <w:rFonts w:ascii="Times New Roman" w:hAnsi="Times New Roman" w:cs="Times New Roman"/>
          <w:sz w:val="24"/>
          <w:szCs w:val="24"/>
        </w:rPr>
        <w:t>Na dzień podjęcia uchwały, spłatę zobowiązań przewiduje się do roku 2027. W związku z powyższym, Wieloletnia Prognoza Finansowa Powiatu Świdwiński</w:t>
      </w:r>
      <w:r w:rsidRPr="00CC6F08">
        <w:rPr>
          <w:rFonts w:ascii="Times New Roman" w:hAnsi="Times New Roman"/>
          <w:szCs w:val="24"/>
        </w:rPr>
        <w:t>ego</w:t>
      </w:r>
      <w:r w:rsidRPr="00CC6F08">
        <w:rPr>
          <w:rFonts w:ascii="Times New Roman" w:hAnsi="Times New Roman" w:cs="Times New Roman"/>
          <w:sz w:val="24"/>
          <w:szCs w:val="24"/>
        </w:rPr>
        <w:t xml:space="preserve"> została przygotowana na lata 2022-2027.</w:t>
      </w:r>
    </w:p>
    <w:p w14:paraId="1E025C4E" w14:textId="2EF0FE21" w:rsidR="00844BD2" w:rsidRP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Przy opracowaniu prognozy pozycji budżetowych Powiatu Świdwiński</w:t>
      </w:r>
      <w:r w:rsidRPr="00844BD2">
        <w:rPr>
          <w:rFonts w:ascii="Times New Roman" w:hAnsi="Times New Roman"/>
          <w:szCs w:val="24"/>
        </w:rPr>
        <w:t>ego</w:t>
      </w:r>
      <w:r w:rsidRPr="00844BD2">
        <w:rPr>
          <w:rFonts w:ascii="Times New Roman" w:hAnsi="Times New Roman" w:cs="Times New Roman"/>
          <w:sz w:val="24"/>
          <w:szCs w:val="24"/>
        </w:rPr>
        <w:t xml:space="preserve"> wykorzystano podstawowe mierniki koniunktury gospodarczej – produkt krajowy brutto oraz wskaźnik inflacji. Na ich podstawie oszacowano wartości dochodów i wydatków Powiatu Świdwiński</w:t>
      </w:r>
      <w:r w:rsidRPr="00844BD2">
        <w:rPr>
          <w:rFonts w:ascii="Times New Roman" w:hAnsi="Times New Roman"/>
          <w:szCs w:val="24"/>
        </w:rPr>
        <w:t>ego</w:t>
      </w:r>
      <w:r w:rsidRPr="00844BD2">
        <w:rPr>
          <w:rFonts w:ascii="Times New Roman" w:hAnsi="Times New Roman" w:cs="Times New Roman"/>
          <w:sz w:val="24"/>
          <w:szCs w:val="24"/>
        </w:rPr>
        <w:t>.</w:t>
      </w:r>
    </w:p>
    <w:p w14:paraId="5B9BF127" w14:textId="58B47B0A" w:rsidR="00844BD2" w:rsidRP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Zgodnie z zaleceniami Ministra Finansów, prognozę wskazanych pozycji oparto o </w:t>
      </w:r>
      <w:r w:rsidRPr="00844BD2">
        <w:rPr>
          <w:rFonts w:ascii="Times New Roman" w:hAnsi="Times New Roman"/>
          <w:szCs w:val="24"/>
        </w:rPr>
        <w:t>w</w:t>
      </w:r>
      <w:r w:rsidRPr="00844BD2">
        <w:rPr>
          <w:rFonts w:ascii="Times New Roman" w:hAnsi="Times New Roman" w:cs="Times New Roman"/>
          <w:sz w:val="24"/>
          <w:szCs w:val="24"/>
        </w:rPr>
        <w:t>ytyczne dotyczące stosowania jednolitych wskaźników makroekonomicznych będących podstawą oszacowania skutków finansowych projektowanych ustaw. Ostatnia dostępna aktualizacja ww. wytycznych miała miejsce 31 sierpnia 2021 r., a dane wynikające z powołanego dokumentu prezentuje tabela </w:t>
      </w:r>
      <w:r w:rsidR="00CC6F08">
        <w:rPr>
          <w:rFonts w:ascii="Times New Roman" w:hAnsi="Times New Roman" w:cs="Times New Roman"/>
          <w:sz w:val="24"/>
          <w:szCs w:val="24"/>
        </w:rPr>
        <w:t>poniżej</w:t>
      </w:r>
      <w:r w:rsidRPr="00844BD2">
        <w:rPr>
          <w:rFonts w:ascii="Times New Roman" w:hAnsi="Times New Roman" w:cs="Times New Roman"/>
          <w:sz w:val="24"/>
          <w:szCs w:val="24"/>
        </w:rPr>
        <w:t>.</w:t>
      </w:r>
    </w:p>
    <w:p w14:paraId="087F56B0" w14:textId="1EE10746" w:rsidR="00844BD2" w:rsidRPr="00074013" w:rsidRDefault="00844BD2" w:rsidP="00B16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013">
        <w:rPr>
          <w:rFonts w:ascii="Times New Roman" w:hAnsi="Times New Roman" w:cs="Times New Roman"/>
          <w:sz w:val="24"/>
          <w:szCs w:val="24"/>
          <w:u w:val="single"/>
        </w:rPr>
        <w:t>Dane makroekonomiczne przyjęte do wyliczeń prognozy (www.mf.gov.pl)</w:t>
      </w:r>
    </w:p>
    <w:tbl>
      <w:tblPr>
        <w:tblStyle w:val="Standardowy1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23"/>
        <w:gridCol w:w="1223"/>
        <w:gridCol w:w="1223"/>
        <w:gridCol w:w="1223"/>
        <w:gridCol w:w="1223"/>
        <w:gridCol w:w="1223"/>
      </w:tblGrid>
      <w:tr w:rsidR="00B37E95" w:rsidRPr="00B37E95" w14:paraId="1324C8A4" w14:textId="77777777" w:rsidTr="004C713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D5889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Wskaźnik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A34E5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C06B8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A65F0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584B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1740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DB490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</w:tr>
      <w:tr w:rsidR="00B37E95" w:rsidRPr="00B37E95" w14:paraId="3C02965F" w14:textId="77777777" w:rsidTr="004C713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E445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PKB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D061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4,60%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049C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3,70%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B9AD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5FD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EA71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AA85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3,40%</w:t>
            </w:r>
          </w:p>
        </w:tc>
      </w:tr>
      <w:tr w:rsidR="00B37E95" w:rsidRPr="00B37E95" w14:paraId="218D0264" w14:textId="77777777" w:rsidTr="004C713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7D1F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Inflacja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FA75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3,30%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3F6E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3,00%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527F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2,70%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D5C8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5F68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2,50%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D519" w14:textId="77777777" w:rsidR="00844BD2" w:rsidRPr="00B37E95" w:rsidRDefault="00844BD2" w:rsidP="00B16C18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7E95">
              <w:rPr>
                <w:rFonts w:ascii="Times New Roman" w:hAnsi="Times New Roman"/>
                <w:sz w:val="22"/>
                <w:szCs w:val="22"/>
              </w:rPr>
              <w:t>2,50%</w:t>
            </w:r>
          </w:p>
        </w:tc>
      </w:tr>
    </w:tbl>
    <w:p w14:paraId="365F0558" w14:textId="77777777" w:rsidR="00844BD2" w:rsidRP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Prognozę oparto o następujące założenia:</w:t>
      </w:r>
    </w:p>
    <w:p w14:paraId="765CD08A" w14:textId="0438FF08" w:rsidR="00844BD2" w:rsidRPr="00844BD2" w:rsidRDefault="00844BD2" w:rsidP="007779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1) </w:t>
      </w:r>
      <w:r w:rsidR="00CC6F08">
        <w:rPr>
          <w:rFonts w:ascii="Times New Roman" w:hAnsi="Times New Roman" w:cs="Times New Roman"/>
          <w:sz w:val="24"/>
          <w:szCs w:val="24"/>
        </w:rPr>
        <w:tab/>
      </w:r>
      <w:r w:rsidRPr="00844BD2">
        <w:rPr>
          <w:rFonts w:ascii="Times New Roman" w:hAnsi="Times New Roman" w:cs="Times New Roman"/>
          <w:sz w:val="24"/>
          <w:szCs w:val="24"/>
        </w:rPr>
        <w:t>dla roku 2022 przyjęto wartości wynikające z projektu budżetu;</w:t>
      </w:r>
    </w:p>
    <w:p w14:paraId="61B93A96" w14:textId="33BBBF0E" w:rsidR="00844BD2" w:rsidRPr="00844BD2" w:rsidRDefault="00844BD2" w:rsidP="007779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2) </w:t>
      </w:r>
      <w:r w:rsidR="00CC6F08">
        <w:rPr>
          <w:rFonts w:ascii="Times New Roman" w:hAnsi="Times New Roman" w:cs="Times New Roman"/>
          <w:sz w:val="24"/>
          <w:szCs w:val="24"/>
        </w:rPr>
        <w:tab/>
      </w:r>
      <w:r w:rsidRPr="00844BD2">
        <w:rPr>
          <w:rFonts w:ascii="Times New Roman" w:hAnsi="Times New Roman" w:cs="Times New Roman"/>
          <w:sz w:val="24"/>
          <w:szCs w:val="24"/>
        </w:rPr>
        <w:t>dla lat 2023-2027 prognozę wykonano poprzez indeksację o wskaźnik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 w:rsidRPr="00844BD2">
        <w:rPr>
          <w:rFonts w:ascii="Times New Roman" w:hAnsi="Times New Roman" w:cs="Times New Roman"/>
          <w:sz w:val="24"/>
          <w:szCs w:val="24"/>
        </w:rPr>
        <w:t>.</w:t>
      </w:r>
    </w:p>
    <w:p w14:paraId="1A098175" w14:textId="77777777" w:rsidR="00844BD2" w:rsidRPr="00844BD2" w:rsidRDefault="00844BD2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D2">
        <w:rPr>
          <w:rFonts w:ascii="Times New Roman" w:hAnsi="Times New Roman" w:cs="Times New Roman"/>
          <w:sz w:val="24"/>
          <w:szCs w:val="24"/>
        </w:rPr>
        <w:t>Zgodnie z przyjętym założeniem, dochody i wydatki bież</w:t>
      </w:r>
      <w:r w:rsidRPr="00844BD2">
        <w:rPr>
          <w:rFonts w:ascii="Times New Roman" w:hAnsi="Times New Roman"/>
          <w:szCs w:val="24"/>
        </w:rPr>
        <w:t xml:space="preserve">ące w roku 2022 </w:t>
      </w:r>
      <w:r w:rsidRPr="00844BD2">
        <w:rPr>
          <w:rFonts w:ascii="Times New Roman" w:hAnsi="Times New Roman" w:cs="Times New Roman"/>
          <w:sz w:val="24"/>
          <w:szCs w:val="24"/>
        </w:rPr>
        <w:t>wynikają z wartości zawartych w projekcie budżetu na 2022 rok. Od 2023 roku dochody i wydatki bieżące ustalono za pomocą wskaźników i</w:t>
      </w:r>
      <w:r w:rsidRPr="00844BD2">
        <w:rPr>
          <w:rFonts w:ascii="Times New Roman" w:hAnsi="Times New Roman"/>
          <w:szCs w:val="24"/>
        </w:rPr>
        <w:t>nflacji, wskaźnika dynamiki PKB.</w:t>
      </w:r>
    </w:p>
    <w:p w14:paraId="6873A675" w14:textId="30F1DC8E" w:rsidR="002B07F8" w:rsidRPr="00282910" w:rsidRDefault="00FA4CEE" w:rsidP="00CC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DOCHODY:</w:t>
      </w:r>
    </w:p>
    <w:p w14:paraId="7E207EF2" w14:textId="13B3B20B" w:rsidR="004E09CD" w:rsidRPr="007D329A" w:rsidRDefault="004E09CD" w:rsidP="00CC6F0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Prognozy dochodów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dokonano w podziałach merytorycznych, a następnie sklasyfikowano w podziały wymagane ustawowo. Podział merytoryczny został sporządzony za pomocą paragrafów klasyfikacji budżetowej i objął dochody bieżące i majątkowe.</w:t>
      </w:r>
    </w:p>
    <w:p w14:paraId="5F2A261C" w14:textId="444B7076" w:rsidR="004E09CD" w:rsidRDefault="004E09CD" w:rsidP="00CC6F08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Dochody bie</w:t>
      </w:r>
      <w:r>
        <w:rPr>
          <w:rFonts w:ascii="Times New Roman" w:hAnsi="Times New Roman" w:cs="Times New Roman"/>
          <w:sz w:val="24"/>
          <w:szCs w:val="24"/>
        </w:rPr>
        <w:t>żące prognozowano w podziale na</w:t>
      </w:r>
      <w:r w:rsidRPr="007D329A">
        <w:rPr>
          <w:rFonts w:ascii="Times New Roman" w:hAnsi="Times New Roman" w:cs="Times New Roman"/>
          <w:sz w:val="24"/>
          <w:szCs w:val="24"/>
        </w:rPr>
        <w:t xml:space="preserve"> dochody z tytułu udziału we wpływach z podatku</w:t>
      </w:r>
      <w:r>
        <w:rPr>
          <w:rFonts w:ascii="Times New Roman" w:hAnsi="Times New Roman" w:cs="Times New Roman"/>
          <w:sz w:val="24"/>
          <w:szCs w:val="24"/>
        </w:rPr>
        <w:t xml:space="preserve"> dochodowego od osób fizycznych, </w:t>
      </w:r>
      <w:r w:rsidRPr="007D329A">
        <w:rPr>
          <w:rFonts w:ascii="Times New Roman" w:hAnsi="Times New Roman" w:cs="Times New Roman"/>
          <w:sz w:val="24"/>
          <w:szCs w:val="24"/>
        </w:rPr>
        <w:t xml:space="preserve">dochody z tytułu udziału we wpływach z podatku dochodowego od osób </w:t>
      </w:r>
      <w:r>
        <w:rPr>
          <w:rFonts w:ascii="Times New Roman" w:hAnsi="Times New Roman" w:cs="Times New Roman"/>
          <w:sz w:val="24"/>
          <w:szCs w:val="24"/>
        </w:rPr>
        <w:t xml:space="preserve">prawnych, subwencję ogólną, </w:t>
      </w:r>
      <w:r w:rsidRPr="007D329A">
        <w:rPr>
          <w:rFonts w:ascii="Times New Roman" w:hAnsi="Times New Roman" w:cs="Times New Roman"/>
          <w:sz w:val="24"/>
          <w:szCs w:val="24"/>
        </w:rPr>
        <w:t>dotacje i środ</w:t>
      </w:r>
      <w:r>
        <w:rPr>
          <w:rFonts w:ascii="Times New Roman" w:hAnsi="Times New Roman" w:cs="Times New Roman"/>
          <w:sz w:val="24"/>
          <w:szCs w:val="24"/>
        </w:rPr>
        <w:t>ki przeznaczone na cele bieżące, pozostałe dochody.</w:t>
      </w:r>
    </w:p>
    <w:p w14:paraId="7A1C6EEE" w14:textId="06ADD646" w:rsidR="004E09CD" w:rsidRDefault="002B07F8" w:rsidP="00CC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</w:t>
      </w:r>
      <w:r w:rsidRPr="004E09CD">
        <w:rPr>
          <w:rFonts w:ascii="Times New Roman" w:hAnsi="Times New Roman" w:cs="Times New Roman"/>
          <w:sz w:val="24"/>
          <w:szCs w:val="24"/>
          <w:u w:val="single"/>
        </w:rPr>
        <w:t>bieżące</w:t>
      </w:r>
      <w:r w:rsidR="004E09CD" w:rsidRPr="004E09CD">
        <w:rPr>
          <w:rFonts w:ascii="Times New Roman" w:hAnsi="Times New Roman" w:cs="Times New Roman"/>
          <w:sz w:val="24"/>
          <w:szCs w:val="24"/>
          <w:u w:val="single"/>
        </w:rPr>
        <w:t xml:space="preserve"> ( kol. 1.1)</w:t>
      </w:r>
    </w:p>
    <w:p w14:paraId="37C5CA6B" w14:textId="7496C92F" w:rsidR="002B07F8" w:rsidRDefault="004E09CD" w:rsidP="00CC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Uwzględniając dotychczasowe kształtowanie się dochodów budżetu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oraz przewidywania na następne lata, w poszczególnych kategoriach dochodów bieżących posłużono się metodą indeksacji wartości bazowych o odpowiednio przypisany dla każdej kategorii budżetowej wskaźnik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wzrostu  rok do roku</w:t>
      </w:r>
      <w:r w:rsidR="004B78A7">
        <w:rPr>
          <w:rFonts w:ascii="Times New Roman" w:hAnsi="Times New Roman" w:cs="Times New Roman"/>
          <w:sz w:val="24"/>
          <w:szCs w:val="24"/>
        </w:rPr>
        <w:t xml:space="preserve"> max do </w:t>
      </w:r>
      <w:r w:rsidR="00A67AAA">
        <w:rPr>
          <w:rFonts w:ascii="Times New Roman" w:hAnsi="Times New Roman" w:cs="Times New Roman"/>
          <w:sz w:val="24"/>
          <w:szCs w:val="24"/>
        </w:rPr>
        <w:t>2,5</w:t>
      </w:r>
      <w:r w:rsidR="004B78A7">
        <w:rPr>
          <w:rFonts w:ascii="Times New Roman" w:hAnsi="Times New Roman" w:cs="Times New Roman"/>
          <w:sz w:val="24"/>
          <w:szCs w:val="24"/>
        </w:rPr>
        <w:t>%.</w:t>
      </w:r>
      <w:r w:rsidR="00B7571D" w:rsidRPr="00B065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78A7">
        <w:rPr>
          <w:rFonts w:ascii="Times New Roman" w:hAnsi="Times New Roman" w:cs="Times New Roman"/>
          <w:sz w:val="24"/>
          <w:szCs w:val="24"/>
        </w:rPr>
        <w:t>d roku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78A7">
        <w:rPr>
          <w:rFonts w:ascii="Times New Roman" w:hAnsi="Times New Roman" w:cs="Times New Roman"/>
          <w:sz w:val="24"/>
          <w:szCs w:val="24"/>
        </w:rPr>
        <w:t xml:space="preserve"> do 2027 założono planowane dochody dla zrównoważenia budżetu i wypracowania nadwyżki, która w każdym roku przeznaczana jest na spłatę w</w:t>
      </w:r>
      <w:r>
        <w:rPr>
          <w:rFonts w:ascii="Times New Roman" w:hAnsi="Times New Roman" w:cs="Times New Roman"/>
          <w:sz w:val="24"/>
          <w:szCs w:val="24"/>
        </w:rPr>
        <w:t>cześniej zaciągniętych kredytów i pożyczek.</w:t>
      </w:r>
    </w:p>
    <w:p w14:paraId="449CEBEB" w14:textId="77777777" w:rsidR="002B07F8" w:rsidRDefault="002B07F8" w:rsidP="00CC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449D503B" w:rsidR="002B07F8" w:rsidRDefault="002B07F8" w:rsidP="00CC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</w:t>
      </w:r>
      <w:r w:rsidR="00924A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 w:rsidR="009474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zewnętrznymi. </w:t>
      </w:r>
    </w:p>
    <w:p w14:paraId="2C5172F4" w14:textId="670E071A" w:rsidR="002B07F8" w:rsidRDefault="002B07F8" w:rsidP="00CC6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 xml:space="preserve">u zaplanowane są </w:t>
      </w:r>
      <w:r w:rsidR="00924A81">
        <w:rPr>
          <w:rFonts w:ascii="Times New Roman" w:hAnsi="Times New Roman" w:cs="Times New Roman"/>
          <w:sz w:val="24"/>
          <w:szCs w:val="24"/>
        </w:rPr>
        <w:t>w wartościach wynikających z zawartych umów sprzedaży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</w:t>
      </w:r>
      <w:r w:rsidR="00924A81">
        <w:rPr>
          <w:rFonts w:ascii="Times New Roman" w:hAnsi="Times New Roman" w:cs="Times New Roman"/>
          <w:sz w:val="24"/>
          <w:szCs w:val="24"/>
        </w:rPr>
        <w:t>z tytułu dotacji oraz środków przeznaczonych na inwestycje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 xml:space="preserve">e </w:t>
      </w:r>
      <w:r w:rsidR="007779AC">
        <w:rPr>
          <w:rFonts w:ascii="Times New Roman" w:hAnsi="Times New Roman" w:cs="Times New Roman"/>
          <w:sz w:val="24"/>
          <w:szCs w:val="24"/>
        </w:rPr>
        <w:t xml:space="preserve">są </w:t>
      </w:r>
      <w:r w:rsidR="00780EF0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924A81">
        <w:rPr>
          <w:rFonts w:ascii="Times New Roman" w:hAnsi="Times New Roman" w:cs="Times New Roman"/>
          <w:sz w:val="24"/>
          <w:szCs w:val="24"/>
        </w:rPr>
        <w:t>do roku 2024</w:t>
      </w:r>
      <w:r w:rsidR="007779AC">
        <w:rPr>
          <w:rFonts w:ascii="Times New Roman" w:hAnsi="Times New Roman" w:cs="Times New Roman"/>
          <w:sz w:val="24"/>
          <w:szCs w:val="24"/>
        </w:rPr>
        <w:t>,</w:t>
      </w:r>
      <w:r w:rsidR="00924A81">
        <w:rPr>
          <w:rFonts w:ascii="Times New Roman" w:hAnsi="Times New Roman" w:cs="Times New Roman"/>
          <w:sz w:val="24"/>
          <w:szCs w:val="24"/>
        </w:rPr>
        <w:t xml:space="preserve"> </w:t>
      </w:r>
      <w:r w:rsidR="00780EF0">
        <w:rPr>
          <w:rFonts w:ascii="Times New Roman" w:hAnsi="Times New Roman" w:cs="Times New Roman"/>
          <w:sz w:val="24"/>
          <w:szCs w:val="24"/>
        </w:rPr>
        <w:t xml:space="preserve">zgodnie </w:t>
      </w:r>
      <w:r w:rsidR="00B37E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0EF0">
        <w:rPr>
          <w:rFonts w:ascii="Times New Roman" w:hAnsi="Times New Roman" w:cs="Times New Roman"/>
          <w:sz w:val="24"/>
          <w:szCs w:val="24"/>
        </w:rPr>
        <w:t>z planowanymi prz</w:t>
      </w:r>
      <w:r w:rsidR="00924A81">
        <w:rPr>
          <w:rFonts w:ascii="Times New Roman" w:hAnsi="Times New Roman" w:cs="Times New Roman"/>
          <w:sz w:val="24"/>
          <w:szCs w:val="24"/>
        </w:rPr>
        <w:t>edsięwzięciami.</w:t>
      </w:r>
    </w:p>
    <w:p w14:paraId="1C5375A3" w14:textId="14CE2F7D" w:rsidR="00D614FA" w:rsidRPr="00D614FA" w:rsidRDefault="00A7484C" w:rsidP="00FA4C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DE0FAC" wp14:editId="71647287">
            <wp:extent cx="6105525" cy="370522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B3C9EA" w14:textId="08650B88" w:rsidR="002B07F8" w:rsidRPr="00282910" w:rsidRDefault="00B16C18" w:rsidP="002829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WYDATKI:</w:t>
      </w:r>
    </w:p>
    <w:p w14:paraId="60F10AAC" w14:textId="44C78AC6" w:rsidR="00A7484C" w:rsidRPr="007D329A" w:rsidRDefault="00A7484C" w:rsidP="009C597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Prognozy wydatków Powiatu Świdwiński</w:t>
      </w:r>
      <w:r w:rsidR="00991BFF"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dokonano w podziale na kategorie wydatków bieżących i wydatków majątkowych.</w:t>
      </w:r>
    </w:p>
    <w:p w14:paraId="2A1E2152" w14:textId="5E09B858" w:rsidR="00A7484C" w:rsidRPr="00991BFF" w:rsidRDefault="00991BFF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1BFF">
        <w:rPr>
          <w:rFonts w:ascii="Times New Roman" w:hAnsi="Times New Roman" w:cs="Times New Roman"/>
          <w:sz w:val="24"/>
          <w:szCs w:val="24"/>
          <w:u w:val="single"/>
        </w:rPr>
        <w:t xml:space="preserve">Wydatki bieżące ( kol.2.1 )  </w:t>
      </w:r>
    </w:p>
    <w:p w14:paraId="100FAA8A" w14:textId="001B1E21" w:rsidR="00A7484C" w:rsidRPr="007D329A" w:rsidRDefault="00A7484C" w:rsidP="009C597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bie</w:t>
      </w:r>
      <w:r w:rsidR="009C597C">
        <w:rPr>
          <w:rFonts w:ascii="Times New Roman" w:hAnsi="Times New Roman" w:cs="Times New Roman"/>
          <w:sz w:val="24"/>
          <w:szCs w:val="24"/>
        </w:rPr>
        <w:t>żące prognozowane są</w:t>
      </w:r>
      <w:r w:rsidR="00991BFF">
        <w:rPr>
          <w:rFonts w:ascii="Times New Roman" w:hAnsi="Times New Roman" w:cs="Times New Roman"/>
          <w:sz w:val="24"/>
          <w:szCs w:val="24"/>
        </w:rPr>
        <w:t xml:space="preserve"> w podziale na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wynagrodze</w:t>
      </w:r>
      <w:r w:rsidR="00991BFF">
        <w:rPr>
          <w:rFonts w:ascii="Times New Roman" w:hAnsi="Times New Roman" w:cs="Times New Roman"/>
          <w:sz w:val="24"/>
          <w:szCs w:val="24"/>
        </w:rPr>
        <w:t xml:space="preserve">nia i składki od nich naliczane, </w:t>
      </w:r>
      <w:r w:rsidRPr="007D329A">
        <w:rPr>
          <w:rFonts w:ascii="Times New Roman" w:hAnsi="Times New Roman" w:cs="Times New Roman"/>
          <w:sz w:val="24"/>
          <w:szCs w:val="24"/>
        </w:rPr>
        <w:t>wy</w:t>
      </w:r>
      <w:r w:rsidR="00991BFF">
        <w:rPr>
          <w:rFonts w:ascii="Times New Roman" w:hAnsi="Times New Roman" w:cs="Times New Roman"/>
          <w:sz w:val="24"/>
          <w:szCs w:val="24"/>
        </w:rPr>
        <w:t>datki na poręczenia i gwarancje,</w:t>
      </w:r>
      <w:r w:rsidRPr="007D329A">
        <w:rPr>
          <w:rFonts w:ascii="Times New Roman" w:hAnsi="Times New Roman" w:cs="Times New Roman"/>
          <w:sz w:val="24"/>
          <w:szCs w:val="24"/>
        </w:rPr>
        <w:t xml:space="preserve"> wydatki związane z obsługą zadłu</w:t>
      </w:r>
      <w:r w:rsidR="00991BFF">
        <w:rPr>
          <w:rFonts w:ascii="Times New Roman" w:hAnsi="Times New Roman" w:cs="Times New Roman"/>
          <w:sz w:val="24"/>
          <w:szCs w:val="24"/>
        </w:rPr>
        <w:t xml:space="preserve">żenia, w tym odsetki i dyskonto, </w:t>
      </w:r>
      <w:r w:rsidRPr="007D329A">
        <w:rPr>
          <w:rFonts w:ascii="Times New Roman" w:hAnsi="Times New Roman" w:cs="Times New Roman"/>
          <w:sz w:val="24"/>
          <w:szCs w:val="24"/>
        </w:rPr>
        <w:t>pozostałe wydatki bieżące.</w:t>
      </w:r>
    </w:p>
    <w:p w14:paraId="3BE1DDDD" w14:textId="5DB88D44" w:rsidR="00780EF0" w:rsidRPr="00991BFF" w:rsidRDefault="00A7484C" w:rsidP="009C597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Zgodnie z założeniami przyjętymi przy prognozie dochodów, dla wydatków bieżących w roku 2022 przyjęto projekt budżetu. W latach 2023-2027 dokonano indeksacji wydatków w oparciu o wskaźn</w:t>
      </w:r>
      <w:r w:rsidR="00947441">
        <w:rPr>
          <w:rFonts w:ascii="Times New Roman" w:hAnsi="Times New Roman" w:cs="Times New Roman"/>
          <w:sz w:val="24"/>
          <w:szCs w:val="24"/>
        </w:rPr>
        <w:t>iki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0,50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do 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>3,00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991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BFF" w:rsidRPr="00C61BED">
        <w:rPr>
          <w:rFonts w:ascii="Times New Roman" w:hAnsi="Times New Roman" w:cs="Times New Roman"/>
          <w:color w:val="000000" w:themeColor="text1"/>
          <w:sz w:val="24"/>
          <w:szCs w:val="24"/>
        </w:rPr>
        <w:t>w stosunku do poniesionych wydatków w latach poprzednich</w:t>
      </w:r>
      <w:r w:rsidRPr="007D329A">
        <w:rPr>
          <w:rFonts w:ascii="Times New Roman" w:hAnsi="Times New Roman" w:cs="Times New Roman"/>
          <w:sz w:val="24"/>
          <w:szCs w:val="24"/>
        </w:rPr>
        <w:t>.</w:t>
      </w:r>
      <w:r w:rsidR="00991BFF">
        <w:rPr>
          <w:rFonts w:ascii="Times New Roman" w:hAnsi="Times New Roman" w:cs="Times New Roman"/>
          <w:sz w:val="24"/>
          <w:szCs w:val="24"/>
        </w:rPr>
        <w:t xml:space="preserve"> Wydatki</w:t>
      </w:r>
      <w:r w:rsidRPr="007D329A">
        <w:rPr>
          <w:rFonts w:ascii="Times New Roman" w:hAnsi="Times New Roman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>
        <w:rPr>
          <w:rFonts w:ascii="Times New Roman" w:hAnsi="Times New Roman" w:cs="Times New Roman"/>
          <w:sz w:val="24"/>
          <w:szCs w:val="24"/>
        </w:rPr>
        <w:t>pożyczkowych</w:t>
      </w:r>
      <w:r w:rsidR="002B07F8">
        <w:rPr>
          <w:rFonts w:ascii="Times New Roman" w:hAnsi="Times New Roman" w:cs="Times New Roman"/>
          <w:sz w:val="24"/>
          <w:szCs w:val="24"/>
        </w:rPr>
        <w:t xml:space="preserve"> (przyjęto średniorocznie oprocentowanie w wysokości 4%).  </w:t>
      </w:r>
    </w:p>
    <w:p w14:paraId="63094D69" w14:textId="685045CE" w:rsidR="002B07F8" w:rsidRDefault="002B07F8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 w:rsidR="009C59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59E8472D" w:rsidR="009B5CB6" w:rsidRDefault="009B5CB6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</w:t>
      </w:r>
      <w:r w:rsidR="00991B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065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do zabezpieczenia wkładu własnego w realizowane inwestycje i środki niezbędne na spłatę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</w:t>
      </w:r>
      <w:r w:rsidR="009C597C">
        <w:rPr>
          <w:rFonts w:ascii="Times New Roman" w:hAnsi="Times New Roman" w:cs="Times New Roman"/>
          <w:sz w:val="24"/>
          <w:szCs w:val="24"/>
        </w:rPr>
        <w:t>niętych kredytów.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9C597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</w:t>
      </w:r>
      <w:r w:rsidR="00991BFF">
        <w:rPr>
          <w:rFonts w:ascii="Times New Roman" w:hAnsi="Times New Roman" w:cs="Times New Roman"/>
          <w:sz w:val="24"/>
          <w:szCs w:val="24"/>
        </w:rPr>
        <w:t xml:space="preserve"> </w:t>
      </w:r>
      <w:r w:rsidR="003007D2">
        <w:rPr>
          <w:rFonts w:ascii="Times New Roman" w:hAnsi="Times New Roman" w:cs="Times New Roman"/>
          <w:sz w:val="24"/>
          <w:szCs w:val="24"/>
        </w:rPr>
        <w:t xml:space="preserve">do zrównoważenia budżetu </w:t>
      </w:r>
      <w:r w:rsidR="00991B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i wypracowania nadwyżki na spłatę wcześniej zaciągniętych zobowiązań.</w:t>
      </w:r>
    </w:p>
    <w:p w14:paraId="48B759E6" w14:textId="77777777" w:rsidR="00991BFF" w:rsidRDefault="002B07F8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</w:t>
      </w:r>
      <w:r w:rsidRPr="00991BFF">
        <w:rPr>
          <w:rFonts w:ascii="Times New Roman" w:hAnsi="Times New Roman" w:cs="Times New Roman"/>
          <w:sz w:val="24"/>
          <w:szCs w:val="24"/>
          <w:u w:val="single"/>
        </w:rPr>
        <w:t>majątkowe ( kol.2.2 )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D914" w14:textId="5AE2D597" w:rsidR="00991BFF" w:rsidRPr="007D329A" w:rsidRDefault="00991BFF" w:rsidP="009C597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D329A">
        <w:rPr>
          <w:rFonts w:ascii="Times New Roman" w:hAnsi="Times New Roman" w:cs="Times New Roman"/>
          <w:sz w:val="24"/>
          <w:szCs w:val="24"/>
        </w:rPr>
        <w:t xml:space="preserve"> na lata 2022-2025</w:t>
      </w:r>
      <w:r>
        <w:rPr>
          <w:rFonts w:ascii="Times New Roman" w:hAnsi="Times New Roman" w:cs="Times New Roman"/>
          <w:sz w:val="24"/>
          <w:szCs w:val="24"/>
        </w:rPr>
        <w:t xml:space="preserve"> oraz w oparciu o wieloletni plan inwestycyjny powiatu na lata 2022 - 2024 (wg załączonych tabel od Nr 1 do Nr 3).</w:t>
      </w:r>
      <w:r w:rsidRPr="007D329A">
        <w:rPr>
          <w:rFonts w:ascii="Times New Roman" w:hAnsi="Times New Roman" w:cs="Times New Roman"/>
          <w:sz w:val="24"/>
          <w:szCs w:val="24"/>
        </w:rPr>
        <w:t xml:space="preserve"> W kolejnych latach wydatki majątkowe zostały zaplanowane tak, aby pokryły pozostałą po spłacie zobowiązań część tzw. wolnych środków.</w:t>
      </w:r>
    </w:p>
    <w:p w14:paraId="461A2B0A" w14:textId="3F401723" w:rsidR="00D614FA" w:rsidRDefault="00991BFF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26677A3" wp14:editId="02F8D6DE">
            <wp:extent cx="6038850" cy="27432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7FE28E" w14:textId="59694984" w:rsidR="002B07F8" w:rsidRPr="00282910" w:rsidRDefault="00282910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91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WYNIK BUDŻETU</w:t>
      </w:r>
      <w:r w:rsidRPr="0028291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7233236" w14:textId="40F57CC4" w:rsidR="002B07F8" w:rsidRDefault="00BA1931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</w:t>
      </w:r>
      <w:r w:rsidR="00B16C18">
        <w:rPr>
          <w:rFonts w:ascii="Times New Roman" w:hAnsi="Times New Roman" w:cs="Times New Roman"/>
          <w:sz w:val="24"/>
          <w:szCs w:val="24"/>
        </w:rPr>
        <w:t>2</w:t>
      </w:r>
      <w:r w:rsidR="000B47B7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>
        <w:rPr>
          <w:rFonts w:ascii="Times New Roman" w:hAnsi="Times New Roman" w:cs="Times New Roman"/>
          <w:sz w:val="24"/>
          <w:szCs w:val="24"/>
        </w:rPr>
        <w:t>yka</w:t>
      </w:r>
      <w:r w:rsidR="002B07F8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>
        <w:rPr>
          <w:rFonts w:ascii="Times New Roman" w:hAnsi="Times New Roman" w:cs="Times New Roman"/>
          <w:sz w:val="24"/>
          <w:szCs w:val="24"/>
        </w:rPr>
        <w:t>ym</w:t>
      </w:r>
      <w:r w:rsidR="00B065F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B16C18">
        <w:rPr>
          <w:rFonts w:ascii="Times New Roman" w:hAnsi="Times New Roman" w:cs="Times New Roman"/>
          <w:sz w:val="24"/>
          <w:szCs w:val="24"/>
        </w:rPr>
        <w:t>1.156.350</w:t>
      </w:r>
      <w:r w:rsidR="00B065F6">
        <w:rPr>
          <w:rFonts w:ascii="Times New Roman" w:hAnsi="Times New Roman" w:cs="Times New Roman"/>
          <w:sz w:val="24"/>
          <w:szCs w:val="24"/>
        </w:rPr>
        <w:t xml:space="preserve"> zł, </w:t>
      </w:r>
      <w:r w:rsidR="000B47B7">
        <w:rPr>
          <w:rFonts w:ascii="Times New Roman" w:hAnsi="Times New Roman" w:cs="Times New Roman"/>
          <w:sz w:val="24"/>
          <w:szCs w:val="24"/>
        </w:rPr>
        <w:t>który pokryty zostanie przychodami opisanymi poniżej</w:t>
      </w:r>
      <w:r w:rsidR="00B065F6">
        <w:rPr>
          <w:rFonts w:ascii="Times New Roman" w:hAnsi="Times New Roman" w:cs="Times New Roman"/>
          <w:sz w:val="24"/>
          <w:szCs w:val="24"/>
        </w:rPr>
        <w:t>.</w:t>
      </w:r>
      <w:r w:rsidR="00A51058">
        <w:rPr>
          <w:rFonts w:ascii="Times New Roman" w:hAnsi="Times New Roman" w:cs="Times New Roman"/>
          <w:sz w:val="24"/>
          <w:szCs w:val="24"/>
        </w:rPr>
        <w:t xml:space="preserve"> </w:t>
      </w:r>
      <w:r w:rsidR="000B47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1058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>
        <w:rPr>
          <w:rFonts w:ascii="Times New Roman" w:hAnsi="Times New Roman" w:cs="Times New Roman"/>
          <w:sz w:val="24"/>
          <w:szCs w:val="24"/>
        </w:rPr>
        <w:t>zamyka się nadwyżką</w:t>
      </w:r>
      <w:r w:rsidR="000B47B7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22F5A82D" w14:textId="62A70743" w:rsidR="00282910" w:rsidRPr="007D329A" w:rsidRDefault="00282910" w:rsidP="009C597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29A">
        <w:rPr>
          <w:rFonts w:ascii="Times New Roman" w:hAnsi="Times New Roman" w:cs="Times New Roman"/>
          <w:sz w:val="24"/>
          <w:szCs w:val="24"/>
        </w:rPr>
        <w:t>Wynik budżetu w prognozowanym okresie jest ściśle powiązany z przyjętymi założeniami do prognozy dochodów i wydatków. Fakt prognozowania w oparciu o dane makroekonomiczne o niewielkiej zmienności powoduje zrównoważony i stabilny wzrost dochodów oraz wydatków bieżących, któremu możn</w:t>
      </w:r>
      <w:r>
        <w:rPr>
          <w:rFonts w:ascii="Times New Roman" w:hAnsi="Times New Roman" w:cs="Times New Roman"/>
          <w:sz w:val="24"/>
          <w:szCs w:val="24"/>
        </w:rPr>
        <w:t xml:space="preserve">a przypisać cechy statystyczne </w:t>
      </w:r>
      <w:r w:rsidRPr="007D329A">
        <w:rPr>
          <w:rFonts w:ascii="Times New Roman" w:hAnsi="Times New Roman" w:cs="Times New Roman"/>
          <w:sz w:val="24"/>
          <w:szCs w:val="24"/>
        </w:rPr>
        <w:t>w całym</w:t>
      </w:r>
      <w:r w:rsidR="009C597C">
        <w:rPr>
          <w:rFonts w:ascii="Times New Roman" w:hAnsi="Times New Roman" w:cs="Times New Roman"/>
          <w:sz w:val="24"/>
          <w:szCs w:val="24"/>
        </w:rPr>
        <w:t xml:space="preserve"> </w:t>
      </w:r>
      <w:r w:rsidRPr="007D329A">
        <w:rPr>
          <w:rFonts w:ascii="Times New Roman" w:hAnsi="Times New Roman" w:cs="Times New Roman"/>
          <w:sz w:val="24"/>
          <w:szCs w:val="24"/>
        </w:rPr>
        <w:t>okresie.</w:t>
      </w:r>
    </w:p>
    <w:p w14:paraId="45418DFB" w14:textId="1C56C1B0" w:rsidR="00282910" w:rsidRPr="00074013" w:rsidRDefault="00282910" w:rsidP="00074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013">
        <w:rPr>
          <w:rFonts w:ascii="Times New Roman" w:hAnsi="Times New Roman" w:cs="Times New Roman"/>
          <w:sz w:val="24"/>
          <w:szCs w:val="24"/>
          <w:u w:val="single"/>
        </w:rPr>
        <w:t>Wynik budżetu Powiatu Świdwiński</w:t>
      </w:r>
      <w:r w:rsidR="00074013">
        <w:rPr>
          <w:rFonts w:ascii="Times New Roman" w:hAnsi="Times New Roman" w:cs="Times New Roman"/>
          <w:sz w:val="24"/>
          <w:szCs w:val="24"/>
          <w:u w:val="single"/>
        </w:rPr>
        <w:t>ego</w:t>
      </w:r>
    </w:p>
    <w:tbl>
      <w:tblPr>
        <w:tblStyle w:val="Tabela-Siatka"/>
        <w:tblW w:w="10240" w:type="dxa"/>
        <w:tblLook w:val="04A0" w:firstRow="1" w:lastRow="0" w:firstColumn="1" w:lastColumn="0" w:noHBand="0" w:noVBand="1"/>
      </w:tblPr>
      <w:tblGrid>
        <w:gridCol w:w="1696"/>
        <w:gridCol w:w="1424"/>
        <w:gridCol w:w="1424"/>
        <w:gridCol w:w="1424"/>
        <w:gridCol w:w="1424"/>
        <w:gridCol w:w="1424"/>
        <w:gridCol w:w="1424"/>
      </w:tblGrid>
      <w:tr w:rsidR="00282910" w14:paraId="6E6218EC" w14:textId="77777777" w:rsidTr="00074013">
        <w:tc>
          <w:tcPr>
            <w:tcW w:w="1696" w:type="dxa"/>
          </w:tcPr>
          <w:p w14:paraId="511B7642" w14:textId="77777777" w:rsidR="00282910" w:rsidRPr="00282910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</w:tcPr>
          <w:p w14:paraId="2594A050" w14:textId="53BE654C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2022</w:t>
            </w:r>
          </w:p>
        </w:tc>
        <w:tc>
          <w:tcPr>
            <w:tcW w:w="1424" w:type="dxa"/>
          </w:tcPr>
          <w:p w14:paraId="51D6EAD6" w14:textId="4A4106E0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2023</w:t>
            </w:r>
          </w:p>
        </w:tc>
        <w:tc>
          <w:tcPr>
            <w:tcW w:w="1424" w:type="dxa"/>
          </w:tcPr>
          <w:p w14:paraId="3CFC0269" w14:textId="3BB1994A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2024</w:t>
            </w:r>
          </w:p>
        </w:tc>
        <w:tc>
          <w:tcPr>
            <w:tcW w:w="1424" w:type="dxa"/>
          </w:tcPr>
          <w:p w14:paraId="2AF55ADA" w14:textId="27528486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2025</w:t>
            </w:r>
          </w:p>
        </w:tc>
        <w:tc>
          <w:tcPr>
            <w:tcW w:w="1424" w:type="dxa"/>
          </w:tcPr>
          <w:p w14:paraId="21AB1578" w14:textId="23B2DDF3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2026</w:t>
            </w:r>
          </w:p>
        </w:tc>
        <w:tc>
          <w:tcPr>
            <w:tcW w:w="1424" w:type="dxa"/>
          </w:tcPr>
          <w:p w14:paraId="3B635FE1" w14:textId="1FF981E1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2027</w:t>
            </w:r>
          </w:p>
        </w:tc>
      </w:tr>
      <w:tr w:rsidR="00282910" w14:paraId="3396A5C7" w14:textId="77777777" w:rsidTr="00074013">
        <w:tc>
          <w:tcPr>
            <w:tcW w:w="1696" w:type="dxa"/>
          </w:tcPr>
          <w:p w14:paraId="4462FBF0" w14:textId="549E5F80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Dochody</w:t>
            </w:r>
          </w:p>
        </w:tc>
        <w:tc>
          <w:tcPr>
            <w:tcW w:w="1424" w:type="dxa"/>
          </w:tcPr>
          <w:p w14:paraId="2467F6BD" w14:textId="7DEBFD37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93 475 550,00</w:t>
            </w:r>
          </w:p>
        </w:tc>
        <w:tc>
          <w:tcPr>
            <w:tcW w:w="1424" w:type="dxa"/>
          </w:tcPr>
          <w:p w14:paraId="43716E40" w14:textId="615E272E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83 028 879,00</w:t>
            </w:r>
          </w:p>
        </w:tc>
        <w:tc>
          <w:tcPr>
            <w:tcW w:w="1424" w:type="dxa"/>
          </w:tcPr>
          <w:p w14:paraId="719F72ED" w14:textId="741207D1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83 287 023,00</w:t>
            </w:r>
          </w:p>
        </w:tc>
        <w:tc>
          <w:tcPr>
            <w:tcW w:w="1424" w:type="dxa"/>
          </w:tcPr>
          <w:p w14:paraId="0D08DA99" w14:textId="72C2E3A5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81 278 077,00</w:t>
            </w:r>
          </w:p>
        </w:tc>
        <w:tc>
          <w:tcPr>
            <w:tcW w:w="1424" w:type="dxa"/>
          </w:tcPr>
          <w:p w14:paraId="27B6D3A9" w14:textId="2196DF1C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82 292 579,00</w:t>
            </w:r>
          </w:p>
        </w:tc>
        <w:tc>
          <w:tcPr>
            <w:tcW w:w="1424" w:type="dxa"/>
          </w:tcPr>
          <w:p w14:paraId="2BE2B717" w14:textId="33FA08A5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83 319 761,00</w:t>
            </w:r>
          </w:p>
        </w:tc>
      </w:tr>
      <w:tr w:rsidR="00282910" w14:paraId="77C6313D" w14:textId="77777777" w:rsidTr="00074013">
        <w:tc>
          <w:tcPr>
            <w:tcW w:w="1696" w:type="dxa"/>
          </w:tcPr>
          <w:p w14:paraId="35629484" w14:textId="5AC296F4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Wydatki</w:t>
            </w:r>
          </w:p>
        </w:tc>
        <w:tc>
          <w:tcPr>
            <w:tcW w:w="1424" w:type="dxa"/>
          </w:tcPr>
          <w:p w14:paraId="21E861E6" w14:textId="39A4218F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94 631 900,00</w:t>
            </w:r>
          </w:p>
        </w:tc>
        <w:tc>
          <w:tcPr>
            <w:tcW w:w="1424" w:type="dxa"/>
          </w:tcPr>
          <w:p w14:paraId="6B007524" w14:textId="68A84516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81 806 379,00</w:t>
            </w:r>
          </w:p>
        </w:tc>
        <w:tc>
          <w:tcPr>
            <w:tcW w:w="1424" w:type="dxa"/>
          </w:tcPr>
          <w:p w14:paraId="0B9AD5F3" w14:textId="1A6F4A8A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82 064 523,00</w:t>
            </w:r>
          </w:p>
        </w:tc>
        <w:tc>
          <w:tcPr>
            <w:tcW w:w="1424" w:type="dxa"/>
          </w:tcPr>
          <w:p w14:paraId="4E0E8618" w14:textId="3A8B590A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80 568 077,00</w:t>
            </w:r>
          </w:p>
        </w:tc>
        <w:tc>
          <w:tcPr>
            <w:tcW w:w="1424" w:type="dxa"/>
          </w:tcPr>
          <w:p w14:paraId="1E3B371D" w14:textId="1A2A62C2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81 582 579,00</w:t>
            </w:r>
          </w:p>
        </w:tc>
        <w:tc>
          <w:tcPr>
            <w:tcW w:w="1424" w:type="dxa"/>
          </w:tcPr>
          <w:p w14:paraId="60BE18B1" w14:textId="671B6485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83 109 761,00</w:t>
            </w:r>
          </w:p>
        </w:tc>
      </w:tr>
      <w:tr w:rsidR="00282910" w14:paraId="590FA633" w14:textId="77777777" w:rsidTr="00074013">
        <w:tc>
          <w:tcPr>
            <w:tcW w:w="1696" w:type="dxa"/>
          </w:tcPr>
          <w:p w14:paraId="6273F0CD" w14:textId="4867DE0D" w:rsidR="00282910" w:rsidRPr="00074013" w:rsidRDefault="00282910" w:rsidP="000740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013">
              <w:rPr>
                <w:rFonts w:ascii="Times New Roman" w:hAnsi="Times New Roman" w:cs="Times New Roman"/>
                <w:b/>
                <w:sz w:val="21"/>
                <w:szCs w:val="21"/>
              </w:rPr>
              <w:t>Wynik budżetu</w:t>
            </w:r>
          </w:p>
        </w:tc>
        <w:tc>
          <w:tcPr>
            <w:tcW w:w="1424" w:type="dxa"/>
          </w:tcPr>
          <w:p w14:paraId="14E9D3D9" w14:textId="0EE3A45C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-1 156 350,00</w:t>
            </w:r>
          </w:p>
        </w:tc>
        <w:tc>
          <w:tcPr>
            <w:tcW w:w="1424" w:type="dxa"/>
          </w:tcPr>
          <w:p w14:paraId="6970EA78" w14:textId="4E251B16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1 222 500,00</w:t>
            </w:r>
          </w:p>
        </w:tc>
        <w:tc>
          <w:tcPr>
            <w:tcW w:w="1424" w:type="dxa"/>
          </w:tcPr>
          <w:p w14:paraId="2BDFF81A" w14:textId="008D07A4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1 222 500,00</w:t>
            </w:r>
          </w:p>
        </w:tc>
        <w:tc>
          <w:tcPr>
            <w:tcW w:w="1424" w:type="dxa"/>
          </w:tcPr>
          <w:p w14:paraId="4A3DD69C" w14:textId="3D6AE097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710 000,00</w:t>
            </w:r>
          </w:p>
        </w:tc>
        <w:tc>
          <w:tcPr>
            <w:tcW w:w="1424" w:type="dxa"/>
          </w:tcPr>
          <w:p w14:paraId="415EFE5B" w14:textId="20EC3D6D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710 000,00</w:t>
            </w:r>
          </w:p>
        </w:tc>
        <w:tc>
          <w:tcPr>
            <w:tcW w:w="1424" w:type="dxa"/>
          </w:tcPr>
          <w:p w14:paraId="7450C12C" w14:textId="21FD42C9" w:rsidR="00282910" w:rsidRPr="00282910" w:rsidRDefault="00282910" w:rsidP="00074013">
            <w:pPr>
              <w:spacing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82910">
              <w:rPr>
                <w:rFonts w:ascii="Times New Roman" w:hAnsi="Times New Roman" w:cs="Times New Roman"/>
                <w:sz w:val="21"/>
                <w:szCs w:val="21"/>
              </w:rPr>
              <w:t>210 000,00</w:t>
            </w:r>
          </w:p>
        </w:tc>
      </w:tr>
    </w:tbl>
    <w:p w14:paraId="2AC0B7AF" w14:textId="0CD6FD81" w:rsidR="00C31E9A" w:rsidRDefault="00C31E9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przedstawiono relację dochodów bieżących w stosunku do wydatków bieżących </w:t>
      </w:r>
      <w:r w:rsidR="00AF7474">
        <w:rPr>
          <w:rFonts w:ascii="Times New Roman" w:hAnsi="Times New Roman" w:cs="Times New Roman"/>
          <w:sz w:val="24"/>
          <w:szCs w:val="24"/>
        </w:rPr>
        <w:t xml:space="preserve">w latach 2019 do 2021 oraz </w:t>
      </w:r>
      <w:r>
        <w:rPr>
          <w:rFonts w:ascii="Times New Roman" w:hAnsi="Times New Roman" w:cs="Times New Roman"/>
          <w:sz w:val="24"/>
          <w:szCs w:val="24"/>
        </w:rPr>
        <w:t>planowanych na lata 202</w:t>
      </w:r>
      <w:r w:rsidR="000740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2027. </w:t>
      </w:r>
    </w:p>
    <w:p w14:paraId="7B09AF56" w14:textId="59CB00BE" w:rsidR="00074013" w:rsidRDefault="00074013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7C">
        <w:rPr>
          <w:noProof/>
          <w:color w:val="FF3300"/>
          <w:lang w:eastAsia="pl-PL"/>
        </w:rPr>
        <w:drawing>
          <wp:inline distT="0" distB="0" distL="0" distR="0" wp14:anchorId="5BE851F6" wp14:editId="0CCF9AF4">
            <wp:extent cx="6181725" cy="2895600"/>
            <wp:effectExtent l="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4A062E" w14:textId="2510B474" w:rsidR="00CA1638" w:rsidRPr="00AF7474" w:rsidRDefault="00AF7474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F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wysokości 2.378.850</w:t>
      </w:r>
      <w:r w:rsidR="000C4FF8">
        <w:rPr>
          <w:rFonts w:ascii="Times New Roman" w:hAnsi="Times New Roman" w:cs="Times New Roman"/>
          <w:sz w:val="24"/>
          <w:szCs w:val="24"/>
        </w:rPr>
        <w:t xml:space="preserve"> zł, </w:t>
      </w:r>
      <w:r w:rsidR="00D614FA">
        <w:rPr>
          <w:rFonts w:ascii="Times New Roman" w:hAnsi="Times New Roman" w:cs="Times New Roman"/>
          <w:sz w:val="24"/>
          <w:szCs w:val="24"/>
        </w:rPr>
        <w:t xml:space="preserve">wykazane w kol. 4, dotyczą przychodów z </w:t>
      </w:r>
      <w:r w:rsidRPr="00AF7474">
        <w:rPr>
          <w:rFonts w:ascii="Times New Roman" w:hAnsi="Times New Roman" w:cs="Times New Roman"/>
          <w:sz w:val="24"/>
          <w:szCs w:val="24"/>
          <w:shd w:val="clear" w:color="auto" w:fill="FFFFFF"/>
        </w:rPr>
        <w:t>tytułu wolnych środków jako nadwyżki środków pieniężnych na rachunku bieżącym budżetu jednostki samorządu terytorialnego, wynikających z rozliczeń wyemitowanych papierów wartościowych, kredytów i pożyczek z lat ubiegłych</w:t>
      </w:r>
      <w:r w:rsidRPr="00A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art. 21</w:t>
      </w:r>
      <w:r w:rsidR="003436E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ust. 2 pkt 6 </w:t>
      </w:r>
      <w:r w:rsidR="000C4FF8" w:rsidRPr="00AF7474">
        <w:rPr>
          <w:rFonts w:ascii="Times New Roman" w:hAnsi="Times New Roman" w:cs="Times New Roman"/>
          <w:sz w:val="24"/>
          <w:szCs w:val="24"/>
        </w:rPr>
        <w:t>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FF8" w:rsidRPr="00AF7474">
        <w:rPr>
          <w:rFonts w:ascii="Times New Roman" w:hAnsi="Times New Roman" w:cs="Times New Roman"/>
          <w:sz w:val="24"/>
          <w:szCs w:val="24"/>
        </w:rPr>
        <w:t>), z tego na pokry</w:t>
      </w:r>
      <w:r>
        <w:rPr>
          <w:rFonts w:ascii="Times New Roman" w:hAnsi="Times New Roman" w:cs="Times New Roman"/>
          <w:sz w:val="24"/>
          <w:szCs w:val="24"/>
        </w:rPr>
        <w:t>cie deficytu budżetowego 1.156.350</w:t>
      </w:r>
      <w:r w:rsidR="000C4FF8" w:rsidRPr="00AF7474">
        <w:rPr>
          <w:rFonts w:ascii="Times New Roman" w:hAnsi="Times New Roman" w:cs="Times New Roman"/>
          <w:sz w:val="24"/>
          <w:szCs w:val="24"/>
        </w:rPr>
        <w:t xml:space="preserve"> zł (kol. 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C4FF8" w:rsidRPr="00AF7474">
        <w:rPr>
          <w:rFonts w:ascii="Times New Roman" w:hAnsi="Times New Roman" w:cs="Times New Roman"/>
          <w:sz w:val="24"/>
          <w:szCs w:val="24"/>
        </w:rPr>
        <w:t>.1).</w:t>
      </w:r>
    </w:p>
    <w:p w14:paraId="0EDBCDE8" w14:textId="04A08441" w:rsidR="002B07F8" w:rsidRDefault="00AF7474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 w:rsidR="00C61BED">
        <w:rPr>
          <w:rFonts w:ascii="Times New Roman" w:hAnsi="Times New Roman" w:cs="Times New Roman"/>
          <w:sz w:val="24"/>
          <w:szCs w:val="24"/>
        </w:rPr>
        <w:t>,</w:t>
      </w:r>
      <w:r w:rsidR="002B07F8">
        <w:rPr>
          <w:rFonts w:ascii="Times New Roman" w:hAnsi="Times New Roman" w:cs="Times New Roman"/>
          <w:sz w:val="24"/>
          <w:szCs w:val="24"/>
        </w:rPr>
        <w:t xml:space="preserve"> w</w:t>
      </w:r>
      <w:r w:rsidR="00B065F6">
        <w:rPr>
          <w:rFonts w:ascii="Times New Roman" w:hAnsi="Times New Roman" w:cs="Times New Roman"/>
          <w:sz w:val="24"/>
          <w:szCs w:val="24"/>
        </w:rPr>
        <w:t>ynoszą dla roku 202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 w:rsidR="00B065F6">
        <w:rPr>
          <w:rFonts w:ascii="Times New Roman" w:hAnsi="Times New Roman" w:cs="Times New Roman"/>
          <w:sz w:val="24"/>
          <w:szCs w:val="24"/>
        </w:rPr>
        <w:t xml:space="preserve"> </w:t>
      </w:r>
      <w:r w:rsidR="00C61BED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>
        <w:rPr>
          <w:rFonts w:ascii="Times New Roman" w:hAnsi="Times New Roman" w:cs="Times New Roman"/>
          <w:sz w:val="24"/>
          <w:szCs w:val="24"/>
        </w:rPr>
        <w:t>1.222.500</w:t>
      </w:r>
      <w:r w:rsidR="00B1164A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3D07C705" w14:textId="77777777" w:rsidR="001D5FEE" w:rsidRDefault="001D5FEE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AFF2" w14:textId="77777777" w:rsidR="003436E1" w:rsidRDefault="003436E1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03CA" w14:textId="77777777" w:rsidR="00B1164A" w:rsidRDefault="00B1164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Powiat nie posiada niestandardowych zobowiązań finansowych. Poniżej przedstawiono specyfikę zobowiązań finansowych z tytułu zaciągniętych kredytów i pożyczek:</w:t>
      </w:r>
    </w:p>
    <w:p w14:paraId="6DD9334C" w14:textId="737FF94D" w:rsidR="00B1164A" w:rsidRDefault="00B1164A" w:rsidP="009C597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="00B065F6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937.500</w:t>
      </w:r>
      <w:r w:rsidRPr="00187671">
        <w:rPr>
          <w:rFonts w:ascii="Times New Roman" w:hAnsi="Times New Roman" w:cs="Times New Roman"/>
          <w:u w:val="single"/>
        </w:rPr>
        <w:t xml:space="preserve"> zł</w:t>
      </w:r>
      <w:r w:rsidRPr="00600048">
        <w:rPr>
          <w:rFonts w:ascii="Times New Roman" w:hAnsi="Times New Roman" w:cs="Times New Roman"/>
        </w:rPr>
        <w:t>, kwoty do spłaty: 2022 r. = 312.500 zł, 2023 r. = 312.500 zł, 2024 r. = 312.500 zł;</w:t>
      </w:r>
    </w:p>
    <w:p w14:paraId="4091DF6C" w14:textId="59C63C86" w:rsidR="00B1164A" w:rsidRDefault="00B1164A" w:rsidP="009C597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="00B065F6">
        <w:rPr>
          <w:rFonts w:ascii="Times New Roman" w:hAnsi="Times New Roman" w:cs="Times New Roman"/>
          <w:u w:val="single"/>
        </w:rPr>
        <w:t>zadłużenie do spłaty = 1.</w:t>
      </w:r>
      <w:r w:rsidR="001349C6">
        <w:rPr>
          <w:rFonts w:ascii="Times New Roman" w:hAnsi="Times New Roman" w:cs="Times New Roman"/>
          <w:u w:val="single"/>
        </w:rPr>
        <w:t>260</w:t>
      </w:r>
      <w:r w:rsidRPr="00187671">
        <w:rPr>
          <w:rFonts w:ascii="Times New Roman" w:hAnsi="Times New Roman" w:cs="Times New Roman"/>
          <w:u w:val="single"/>
        </w:rPr>
        <w:t>.000 zł</w:t>
      </w:r>
      <w:r w:rsidRPr="00600048">
        <w:rPr>
          <w:rFonts w:ascii="Times New Roman" w:hAnsi="Times New Roman" w:cs="Times New Roman"/>
        </w:rPr>
        <w:t xml:space="preserve">, kwoty do spłaty: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14:paraId="373512F8" w14:textId="4F96A4C0" w:rsidR="00B1164A" w:rsidRDefault="00B1164A" w:rsidP="009C597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2</w:t>
      </w:r>
      <w:r w:rsidRPr="00187671">
        <w:rPr>
          <w:rFonts w:ascii="Times New Roman" w:hAnsi="Times New Roman" w:cs="Times New Roman"/>
          <w:u w:val="single"/>
        </w:rPr>
        <w:t>.</w:t>
      </w:r>
      <w:r w:rsidR="001349C6">
        <w:rPr>
          <w:rFonts w:ascii="Times New Roman" w:hAnsi="Times New Roman" w:cs="Times New Roman"/>
          <w:u w:val="single"/>
        </w:rPr>
        <w:t>5</w:t>
      </w:r>
      <w:r w:rsidR="00B065F6">
        <w:rPr>
          <w:rFonts w:ascii="Times New Roman" w:hAnsi="Times New Roman" w:cs="Times New Roman"/>
          <w:u w:val="single"/>
        </w:rPr>
        <w:t>0</w:t>
      </w:r>
      <w:r w:rsidRPr="00187671">
        <w:rPr>
          <w:rFonts w:ascii="Times New Roman" w:hAnsi="Times New Roman" w:cs="Times New Roman"/>
          <w:u w:val="single"/>
        </w:rPr>
        <w:t>0.000 zł</w:t>
      </w:r>
      <w:r w:rsidRPr="00600048">
        <w:rPr>
          <w:rFonts w:ascii="Times New Roman" w:hAnsi="Times New Roman" w:cs="Times New Roman"/>
        </w:rPr>
        <w:t>, kwoty do spłaty: 2022 r. = 500.000 zł, 2023 r. = 500.000 zł, 2024 r. = 500.000 zł, 2025 r. = 500.000 zł, 2026 r. = 500.000 zł;</w:t>
      </w:r>
    </w:p>
    <w:p w14:paraId="0A257AAE" w14:textId="23440BEF" w:rsidR="00B1164A" w:rsidRDefault="00B1164A" w:rsidP="009C597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 xml:space="preserve">zadłużenie do spłaty = </w:t>
      </w:r>
      <w:r w:rsidR="001349C6">
        <w:rPr>
          <w:rFonts w:ascii="Times New Roman" w:hAnsi="Times New Roman" w:cs="Times New Roman"/>
          <w:u w:val="single"/>
        </w:rPr>
        <w:t>6</w:t>
      </w:r>
      <w:r w:rsidRPr="00187671">
        <w:rPr>
          <w:rFonts w:ascii="Times New Roman" w:hAnsi="Times New Roman" w:cs="Times New Roman"/>
          <w:u w:val="single"/>
        </w:rPr>
        <w:t>00.000 zł</w:t>
      </w:r>
      <w:r w:rsidRPr="00600048">
        <w:rPr>
          <w:rFonts w:ascii="Times New Roman" w:hAnsi="Times New Roman" w:cs="Times New Roman"/>
        </w:rPr>
        <w:t xml:space="preserve">, kwoty do spłaty: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14:paraId="5AE01CBB" w14:textId="71D7095D" w:rsidR="002B07F8" w:rsidRDefault="00AF7474" w:rsidP="003436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74">
        <w:rPr>
          <w:rFonts w:ascii="Times New Roman" w:hAnsi="Times New Roman" w:cs="Times New Roman"/>
          <w:b/>
          <w:bCs/>
          <w:sz w:val="24"/>
          <w:szCs w:val="24"/>
          <w:u w:val="single"/>
        </w:rPr>
        <w:t>KWOTA DŁUGU</w:t>
      </w:r>
      <w:r w:rsidRPr="00AF7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7474">
        <w:rPr>
          <w:rFonts w:ascii="Times New Roman" w:hAnsi="Times New Roman" w:cs="Times New Roman"/>
          <w:b/>
          <w:sz w:val="24"/>
          <w:szCs w:val="24"/>
          <w:u w:val="single"/>
        </w:rPr>
        <w:t>POWIATU</w:t>
      </w:r>
      <w:r w:rsidR="003436E1" w:rsidRPr="003436E1"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>wykazana w kol. 6,</w:t>
      </w:r>
      <w:r w:rsidR="002B07F8">
        <w:rPr>
          <w:rFonts w:ascii="Times New Roman" w:hAnsi="Times New Roman" w:cs="Times New Roman"/>
          <w:sz w:val="24"/>
          <w:szCs w:val="24"/>
        </w:rPr>
        <w:t xml:space="preserve"> wynika z wielkości kwot zaciągniętych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07F8">
        <w:rPr>
          <w:rFonts w:ascii="Times New Roman" w:hAnsi="Times New Roman" w:cs="Times New Roman"/>
          <w:sz w:val="24"/>
          <w:szCs w:val="24"/>
        </w:rPr>
        <w:t xml:space="preserve">i spłacanych kredytów. </w:t>
      </w:r>
    </w:p>
    <w:p w14:paraId="402C3528" w14:textId="18D2AA8C" w:rsidR="002B07F8" w:rsidRDefault="003F051D" w:rsidP="003436E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>
        <w:rPr>
          <w:rFonts w:ascii="Times New Roman" w:hAnsi="Times New Roman" w:cs="Times New Roman"/>
          <w:sz w:val="24"/>
          <w:szCs w:val="24"/>
        </w:rPr>
        <w:t>Powiat</w:t>
      </w:r>
      <w:r w:rsidR="00FA4CEE">
        <w:rPr>
          <w:rFonts w:ascii="Times New Roman" w:hAnsi="Times New Roman" w:cs="Times New Roman"/>
          <w:sz w:val="24"/>
          <w:szCs w:val="24"/>
        </w:rPr>
        <w:t>u</w:t>
      </w:r>
      <w:r w:rsidR="002B07F8">
        <w:rPr>
          <w:rFonts w:ascii="Times New Roman" w:hAnsi="Times New Roman" w:cs="Times New Roman"/>
          <w:sz w:val="24"/>
          <w:szCs w:val="24"/>
        </w:rPr>
        <w:t xml:space="preserve">. </w:t>
      </w:r>
      <w:r w:rsidR="00FA4CEE">
        <w:rPr>
          <w:rFonts w:ascii="Times New Roman" w:hAnsi="Times New Roman" w:cs="Times New Roman"/>
          <w:sz w:val="24"/>
          <w:szCs w:val="24"/>
        </w:rPr>
        <w:t xml:space="preserve">W </w:t>
      </w:r>
      <w:r w:rsidR="002B07F8">
        <w:rPr>
          <w:rFonts w:ascii="Times New Roman" w:hAnsi="Times New Roman" w:cs="Times New Roman"/>
          <w:sz w:val="24"/>
          <w:szCs w:val="24"/>
        </w:rPr>
        <w:t xml:space="preserve">kolumnie </w:t>
      </w:r>
      <w:r>
        <w:rPr>
          <w:rFonts w:ascii="Times New Roman" w:hAnsi="Times New Roman" w:cs="Times New Roman"/>
          <w:sz w:val="24"/>
          <w:szCs w:val="24"/>
        </w:rPr>
        <w:t>8.3</w:t>
      </w:r>
      <w:r w:rsidR="002B07F8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FA4CEE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(zadłu</w:t>
      </w:r>
      <w:r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>
        <w:rPr>
          <w:rFonts w:ascii="Times New Roman" w:hAnsi="Times New Roman" w:cs="Times New Roman"/>
          <w:sz w:val="24"/>
          <w:szCs w:val="24"/>
        </w:rPr>
        <w:t>poprzednich lat).</w:t>
      </w:r>
    </w:p>
    <w:p w14:paraId="7B0021FC" w14:textId="7C777C3F" w:rsidR="002B07F8" w:rsidRDefault="002B07F8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1349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kolejnych</w:t>
      </w:r>
      <w:r w:rsidR="0036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latach,  zobowiązania dłużne do dochodów ogółem, mieszczą się w granicach dopuszczonych przez ustawę o finansach publicznych i  Powiat będzie w stanie pokryć swoje zobowiązania z tytułu zaciąganych kredytów. </w:t>
      </w:r>
      <w:r w:rsidR="00C61BED">
        <w:rPr>
          <w:rFonts w:ascii="Times New Roman" w:hAnsi="Times New Roman" w:cs="Times New Roman"/>
          <w:sz w:val="24"/>
          <w:szCs w:val="24"/>
        </w:rPr>
        <w:t xml:space="preserve"> Poniżej przedstawiono w sposób graficzny, zmianę zadłużenia w stosunku do planowanych dochodów ogółem.</w:t>
      </w:r>
    </w:p>
    <w:p w14:paraId="21CBDDA9" w14:textId="1F82D98C" w:rsidR="00C61BED" w:rsidRDefault="00AF7474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77C6DC" wp14:editId="6A0581D7">
            <wp:extent cx="6076950" cy="378142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D2E5A50" w14:textId="3556377E" w:rsidR="000C4FF8" w:rsidRDefault="00FA4CEE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</w:t>
      </w:r>
      <w:r w:rsidR="002B07F8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</w:t>
      </w:r>
      <w:r w:rsidR="00AF7474">
        <w:rPr>
          <w:rFonts w:ascii="Times New Roman" w:hAnsi="Times New Roman" w:cs="Times New Roman"/>
          <w:sz w:val="24"/>
          <w:szCs w:val="24"/>
        </w:rPr>
        <w:t>2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FF311F">
        <w:rPr>
          <w:rFonts w:ascii="Times New Roman" w:hAnsi="Times New Roman" w:cs="Times New Roman"/>
          <w:sz w:val="24"/>
          <w:szCs w:val="24"/>
        </w:rPr>
        <w:t xml:space="preserve"> </w:t>
      </w:r>
      <w:r w:rsidR="00AF7474">
        <w:rPr>
          <w:rFonts w:ascii="Times New Roman" w:hAnsi="Times New Roman" w:cs="Times New Roman"/>
          <w:sz w:val="24"/>
          <w:szCs w:val="24"/>
        </w:rPr>
        <w:t>4.075.0</w:t>
      </w:r>
      <w:r w:rsidR="00C80595">
        <w:rPr>
          <w:rFonts w:ascii="Times New Roman" w:hAnsi="Times New Roman" w:cs="Times New Roman"/>
          <w:sz w:val="24"/>
          <w:szCs w:val="24"/>
        </w:rPr>
        <w:t>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 w:rsidR="002B07F8">
        <w:rPr>
          <w:rFonts w:ascii="Times New Roman" w:hAnsi="Times New Roman" w:cs="Times New Roman"/>
          <w:sz w:val="24"/>
          <w:szCs w:val="24"/>
        </w:rPr>
        <w:t>może być spłacan</w:t>
      </w:r>
      <w:r w:rsidR="00176432">
        <w:rPr>
          <w:rFonts w:ascii="Times New Roman" w:hAnsi="Times New Roman" w:cs="Times New Roman"/>
          <w:sz w:val="24"/>
          <w:szCs w:val="24"/>
        </w:rPr>
        <w:t>a</w:t>
      </w:r>
      <w:r w:rsidR="002B07F8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2B07F8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2727236F" w14:textId="15F4B84D" w:rsidR="00CD0815" w:rsidRPr="00A72577" w:rsidRDefault="00CD0815" w:rsidP="00CD0815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2577">
        <w:rPr>
          <w:rFonts w:ascii="Times New Roman" w:hAnsi="Times New Roman" w:cs="Times New Roman"/>
        </w:rPr>
        <w:lastRenderedPageBreak/>
        <w:t>Na podstawie art. 9 ust. 1 ustawy z dnia 14 grudnia 2018 r. o zmianie ustawy o finansach publicznych oraz niektórych innych ustaw (Dz. U. z 2018r. poz. 2500 z</w:t>
      </w:r>
      <w:r>
        <w:rPr>
          <w:rFonts w:ascii="Times New Roman" w:hAnsi="Times New Roman" w:cs="Times New Roman"/>
        </w:rPr>
        <w:t>e zm. Dz. U. z 2021r. poz. 1927</w:t>
      </w:r>
      <w:r w:rsidRPr="00A72577">
        <w:rPr>
          <w:rFonts w:ascii="Times New Roman" w:hAnsi="Times New Roman" w:cs="Times New Roman"/>
        </w:rPr>
        <w:t xml:space="preserve">) </w:t>
      </w:r>
      <w:r w:rsidRPr="00CD0815">
        <w:rPr>
          <w:rFonts w:ascii="Times New Roman" w:hAnsi="Times New Roman" w:cs="Times New Roman"/>
          <w:b/>
        </w:rPr>
        <w:t>d</w:t>
      </w:r>
      <w:r w:rsidRPr="00CD0815">
        <w:rPr>
          <w:rFonts w:ascii="Times New Roman" w:hAnsi="Times New Roman" w:cs="Times New Roman"/>
          <w:b/>
        </w:rPr>
        <w:t>o ustalenia relacji określonej w art. 243 ust. 1 ustawy o finansach publicznych na lata 2022</w:t>
      </w:r>
      <w:r>
        <w:rPr>
          <w:rFonts w:ascii="Times New Roman" w:hAnsi="Times New Roman" w:cs="Times New Roman"/>
          <w:b/>
        </w:rPr>
        <w:t xml:space="preserve"> – </w:t>
      </w:r>
      <w:r w:rsidRPr="00CD0815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CD0815">
        <w:rPr>
          <w:rFonts w:ascii="Times New Roman" w:hAnsi="Times New Roman" w:cs="Times New Roman"/>
          <w:b/>
        </w:rPr>
        <w:t>025 przyjmuje się okres siedmiu lat do wyliczenia średniej arytmetycznej</w:t>
      </w:r>
      <w:r w:rsidRPr="00A72577">
        <w:rPr>
          <w:rFonts w:ascii="Times New Roman" w:hAnsi="Times New Roman" w:cs="Times New Roman"/>
        </w:rPr>
        <w:t xml:space="preserve"> relacji dochodów bieżących powiększonych o dochody ze sprzedaży majątku oraz pomniejszonych o wydatki bieżące do dochodów bieżących budżetu. </w:t>
      </w:r>
    </w:p>
    <w:p w14:paraId="50DC09BB" w14:textId="77777777" w:rsidR="00CD0815" w:rsidRDefault="00CD0815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815" w:rsidSect="009C597C">
      <w:footerReference w:type="default" r:id="rId12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08CD" w14:textId="77777777" w:rsidR="00370246" w:rsidRDefault="00370246" w:rsidP="00FA4CEE">
      <w:pPr>
        <w:spacing w:after="0" w:line="240" w:lineRule="auto"/>
      </w:pPr>
      <w:r>
        <w:separator/>
      </w:r>
    </w:p>
  </w:endnote>
  <w:endnote w:type="continuationSeparator" w:id="0">
    <w:p w14:paraId="56804609" w14:textId="77777777" w:rsidR="00370246" w:rsidRDefault="00370246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081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12AE0" w14:textId="77777777" w:rsidR="00370246" w:rsidRDefault="00370246" w:rsidP="00FA4CEE">
      <w:pPr>
        <w:spacing w:after="0" w:line="240" w:lineRule="auto"/>
      </w:pPr>
      <w:r>
        <w:separator/>
      </w:r>
    </w:p>
  </w:footnote>
  <w:footnote w:type="continuationSeparator" w:id="0">
    <w:p w14:paraId="7A481CBC" w14:textId="77777777" w:rsidR="00370246" w:rsidRDefault="00370246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74013"/>
    <w:rsid w:val="000B47B7"/>
    <w:rsid w:val="000C4F9B"/>
    <w:rsid w:val="000C4FF8"/>
    <w:rsid w:val="001349C6"/>
    <w:rsid w:val="00134D13"/>
    <w:rsid w:val="00176432"/>
    <w:rsid w:val="00187671"/>
    <w:rsid w:val="001B693E"/>
    <w:rsid w:val="001D5FEE"/>
    <w:rsid w:val="002079AB"/>
    <w:rsid w:val="0026038A"/>
    <w:rsid w:val="00282910"/>
    <w:rsid w:val="002A0DDD"/>
    <w:rsid w:val="002A7D38"/>
    <w:rsid w:val="002B07F8"/>
    <w:rsid w:val="002C042A"/>
    <w:rsid w:val="002C0E3F"/>
    <w:rsid w:val="002E427B"/>
    <w:rsid w:val="003007D2"/>
    <w:rsid w:val="00342C4E"/>
    <w:rsid w:val="003436E1"/>
    <w:rsid w:val="003614B8"/>
    <w:rsid w:val="00370246"/>
    <w:rsid w:val="003B4AE4"/>
    <w:rsid w:val="003F051D"/>
    <w:rsid w:val="00411908"/>
    <w:rsid w:val="00486F3F"/>
    <w:rsid w:val="004B78A7"/>
    <w:rsid w:val="004E09CD"/>
    <w:rsid w:val="00541828"/>
    <w:rsid w:val="00541C61"/>
    <w:rsid w:val="00556082"/>
    <w:rsid w:val="00560344"/>
    <w:rsid w:val="005605F9"/>
    <w:rsid w:val="005E7BB7"/>
    <w:rsid w:val="00600C8A"/>
    <w:rsid w:val="00653AA2"/>
    <w:rsid w:val="006C533F"/>
    <w:rsid w:val="006E0361"/>
    <w:rsid w:val="007227D9"/>
    <w:rsid w:val="00764406"/>
    <w:rsid w:val="007779AC"/>
    <w:rsid w:val="00780EF0"/>
    <w:rsid w:val="0084251F"/>
    <w:rsid w:val="00844BD2"/>
    <w:rsid w:val="00900CC5"/>
    <w:rsid w:val="00911B7D"/>
    <w:rsid w:val="00924A81"/>
    <w:rsid w:val="009320F4"/>
    <w:rsid w:val="00947441"/>
    <w:rsid w:val="00991BFF"/>
    <w:rsid w:val="009B5CB6"/>
    <w:rsid w:val="009C597C"/>
    <w:rsid w:val="009F78DC"/>
    <w:rsid w:val="00A51058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1931"/>
    <w:rsid w:val="00C31E9A"/>
    <w:rsid w:val="00C41230"/>
    <w:rsid w:val="00C61BED"/>
    <w:rsid w:val="00C80595"/>
    <w:rsid w:val="00CA1638"/>
    <w:rsid w:val="00CA4E07"/>
    <w:rsid w:val="00CC6F08"/>
    <w:rsid w:val="00CD0815"/>
    <w:rsid w:val="00D34C75"/>
    <w:rsid w:val="00D45ED7"/>
    <w:rsid w:val="00D51E2A"/>
    <w:rsid w:val="00D614FA"/>
    <w:rsid w:val="00D84A25"/>
    <w:rsid w:val="00E22FEE"/>
    <w:rsid w:val="00E3358B"/>
    <w:rsid w:val="00E75153"/>
    <w:rsid w:val="00ED5A1B"/>
    <w:rsid w:val="00F01BEA"/>
    <w:rsid w:val="00F62E19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projekt_WPF_2022_2027\WPF%202022-202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Desktop\projekt_WPF_2022_2027\WPF%202022-2027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Buniak\Desktop\projekt_WPF_2022_2027\WPF%202022-2027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WPF_bazowy!$D$11</c:f>
              <c:strCache>
                <c:ptCount val="1"/>
                <c:pt idx="0">
                  <c:v>dochody bieżące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WPF_bazowy!$J$9:$O$9</c:f>
              <c:numCache>
                <c:formatCode>0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WPF_bazowy!$J$11:$O$11</c:f>
              <c:numCache>
                <c:formatCode>#\ ##0.00_ ;[Red]\-#\ ##0.00\ </c:formatCode>
                <c:ptCount val="6"/>
                <c:pt idx="0">
                  <c:v>77921556</c:v>
                </c:pt>
                <c:pt idx="1">
                  <c:v>79842806</c:v>
                </c:pt>
                <c:pt idx="2">
                  <c:v>80158101</c:v>
                </c:pt>
                <c:pt idx="3">
                  <c:v>81160077</c:v>
                </c:pt>
                <c:pt idx="4">
                  <c:v>82174579</c:v>
                </c:pt>
                <c:pt idx="5">
                  <c:v>83201761</c:v>
                </c:pt>
              </c:numCache>
            </c:numRef>
          </c:val>
        </c:ser>
        <c:ser>
          <c:idx val="1"/>
          <c:order val="1"/>
          <c:tx>
            <c:strRef>
              <c:f>WPF_bazowy!$D$18</c:f>
              <c:strCache>
                <c:ptCount val="1"/>
                <c:pt idx="0">
                  <c:v>dochody majątkowe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cat>
            <c:numRef>
              <c:f>WPF_bazowy!$J$9:$O$9</c:f>
              <c:numCache>
                <c:formatCode>0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WPF_bazowy!$J$18:$O$18</c:f>
              <c:numCache>
                <c:formatCode>#\ ##0.00_ ;[Red]\-#\ ##0.00\ </c:formatCode>
                <c:ptCount val="6"/>
                <c:pt idx="0">
                  <c:v>15553994</c:v>
                </c:pt>
                <c:pt idx="1">
                  <c:v>3186073</c:v>
                </c:pt>
                <c:pt idx="2">
                  <c:v>3128922</c:v>
                </c:pt>
                <c:pt idx="3">
                  <c:v>118000</c:v>
                </c:pt>
                <c:pt idx="4">
                  <c:v>118000</c:v>
                </c:pt>
                <c:pt idx="5">
                  <c:v>118000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581561520"/>
        <c:axId val="-525329808"/>
      </c:barChart>
      <c:catAx>
        <c:axId val="-58156152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525329808"/>
        <c:crosses val="autoZero"/>
        <c:auto val="1"/>
        <c:lblAlgn val="ctr"/>
        <c:lblOffset val="100"/>
        <c:noMultiLvlLbl val="0"/>
      </c:catAx>
      <c:valAx>
        <c:axId val="-525329808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581561520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16528762029746283"/>
          <c:y val="0.89586377394466166"/>
          <c:w val="0.54931889763779529"/>
          <c:h val="6.9446804181756722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WPF_bazowy!$D$22</c:f>
              <c:strCache>
                <c:ptCount val="1"/>
                <c:pt idx="0">
                  <c:v>wydatki bieżące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WPF_bazowy!$J$9:$O$9</c:f>
              <c:numCache>
                <c:formatCode>0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WPF_bazowy!$J$22:$O$22</c:f>
              <c:numCache>
                <c:formatCode>#\ ##0.00_ ;[Red]\-#\ ##0.00\ </c:formatCode>
                <c:ptCount val="6"/>
                <c:pt idx="0">
                  <c:v>75592990</c:v>
                </c:pt>
                <c:pt idx="1">
                  <c:v>75670233</c:v>
                </c:pt>
                <c:pt idx="2">
                  <c:v>75925473</c:v>
                </c:pt>
                <c:pt idx="3">
                  <c:v>76066102</c:v>
                </c:pt>
                <c:pt idx="4">
                  <c:v>76227704</c:v>
                </c:pt>
                <c:pt idx="5">
                  <c:v>76389781</c:v>
                </c:pt>
              </c:numCache>
            </c:numRef>
          </c:val>
        </c:ser>
        <c:ser>
          <c:idx val="1"/>
          <c:order val="1"/>
          <c:tx>
            <c:strRef>
              <c:f>WPF_bazowy!$D$30</c:f>
              <c:strCache>
                <c:ptCount val="1"/>
                <c:pt idx="0">
                  <c:v>wydatki majątkowe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cat>
            <c:numRef>
              <c:f>WPF_bazowy!$J$9:$O$9</c:f>
              <c:numCache>
                <c:formatCode>0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WPF_bazowy!$J$30:$O$30</c:f>
              <c:numCache>
                <c:formatCode>#\ ##0.00_ ;[Red]\-#\ ##0.00\ </c:formatCode>
                <c:ptCount val="6"/>
                <c:pt idx="0">
                  <c:v>19038910</c:v>
                </c:pt>
                <c:pt idx="1">
                  <c:v>6136146</c:v>
                </c:pt>
                <c:pt idx="2">
                  <c:v>6139050</c:v>
                </c:pt>
                <c:pt idx="3">
                  <c:v>4501975</c:v>
                </c:pt>
                <c:pt idx="4">
                  <c:v>5354875</c:v>
                </c:pt>
                <c:pt idx="5">
                  <c:v>6719980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525329264"/>
        <c:axId val="-525328176"/>
      </c:barChart>
      <c:catAx>
        <c:axId val="-5253292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525328176"/>
        <c:crosses val="autoZero"/>
        <c:auto val="1"/>
        <c:lblAlgn val="ctr"/>
        <c:lblOffset val="100"/>
        <c:noMultiLvlLbl val="0"/>
      </c:catAx>
      <c:valAx>
        <c:axId val="-525328176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525329264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19306583552055995"/>
          <c:y val="0.88699561343759381"/>
          <c:w val="0.55279046369203855"/>
          <c:h val="6.9206383624309808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22920379409962"/>
          <c:y val="3.1609195402298854E-2"/>
          <c:w val="0.61060809721172804"/>
          <c:h val="0.67679088605303639"/>
        </c:manualLayout>
      </c:layout>
      <c:lineChart>
        <c:grouping val="standard"/>
        <c:varyColors val="0"/>
        <c:ser>
          <c:idx val="0"/>
          <c:order val="0"/>
          <c:tx>
            <c:strRef>
              <c:f>WPF_bazowy!$D$11</c:f>
              <c:strCache>
                <c:ptCount val="1"/>
                <c:pt idx="0">
                  <c:v>dochody bieżące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(WPF_bazowy!$F$9:$G$9,WPF_bazowy!$I$9:$O$9)</c:f>
              <c:numCache>
                <c:formatCode>0</c:formatCode>
                <c:ptCount val="9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</c:numCache>
            </c:numRef>
          </c:cat>
          <c:val>
            <c:numRef>
              <c:f>(WPF_bazowy!$F$11:$G$11,WPF_bazowy!$I$11:$O$11)</c:f>
              <c:numCache>
                <c:formatCode>#\ ##0.00_ ;[Red]\-#\ ##0.00\ </c:formatCode>
                <c:ptCount val="9"/>
                <c:pt idx="0">
                  <c:v>71772381.810000002</c:v>
                </c:pt>
                <c:pt idx="1">
                  <c:v>79140717.480000004</c:v>
                </c:pt>
                <c:pt idx="2">
                  <c:v>82250230</c:v>
                </c:pt>
                <c:pt idx="3">
                  <c:v>77921556</c:v>
                </c:pt>
                <c:pt idx="4">
                  <c:v>79842806</c:v>
                </c:pt>
                <c:pt idx="5">
                  <c:v>80158101</c:v>
                </c:pt>
                <c:pt idx="6">
                  <c:v>81160077</c:v>
                </c:pt>
                <c:pt idx="7">
                  <c:v>82174579</c:v>
                </c:pt>
                <c:pt idx="8">
                  <c:v>83201761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WPF_bazowy!$D$22</c:f>
              <c:strCache>
                <c:ptCount val="1"/>
                <c:pt idx="0">
                  <c:v>wydatki bieżące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(WPF_bazowy!$F$9:$G$9,WPF_bazowy!$I$9:$O$9)</c:f>
              <c:numCache>
                <c:formatCode>0</c:formatCode>
                <c:ptCount val="9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</c:numCache>
            </c:numRef>
          </c:cat>
          <c:val>
            <c:numRef>
              <c:f>(WPF_bazowy!$F$22:$G$22,WPF_bazowy!$I$22:$O$22)</c:f>
              <c:numCache>
                <c:formatCode>#\ ##0.00_ ;[Red]\-#\ ##0.00\ </c:formatCode>
                <c:ptCount val="9"/>
                <c:pt idx="0">
                  <c:v>65877258.909999996</c:v>
                </c:pt>
                <c:pt idx="1">
                  <c:v>71703717.849999994</c:v>
                </c:pt>
                <c:pt idx="2">
                  <c:v>80928315</c:v>
                </c:pt>
                <c:pt idx="3">
                  <c:v>75592990</c:v>
                </c:pt>
                <c:pt idx="4">
                  <c:v>75670233</c:v>
                </c:pt>
                <c:pt idx="5">
                  <c:v>75925473</c:v>
                </c:pt>
                <c:pt idx="6">
                  <c:v>76066102</c:v>
                </c:pt>
                <c:pt idx="7">
                  <c:v>76227704</c:v>
                </c:pt>
                <c:pt idx="8">
                  <c:v>76389781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525343408"/>
        <c:axId val="-581892272"/>
      </c:lineChart>
      <c:catAx>
        <c:axId val="-52534340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-581892272"/>
        <c:crosses val="autoZero"/>
        <c:auto val="1"/>
        <c:lblAlgn val="ctr"/>
        <c:lblOffset val="100"/>
        <c:noMultiLvlLbl val="0"/>
      </c:catAx>
      <c:valAx>
        <c:axId val="-581892272"/>
        <c:scaling>
          <c:orientation val="minMax"/>
        </c:scaling>
        <c:delete val="0"/>
        <c:axPos val="l"/>
        <c:numFmt formatCode="#,##0_ ;[Red]\-#,##0\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-525343408"/>
        <c:crosses val="autoZero"/>
        <c:crossBetween val="between"/>
        <c:dispUnits>
          <c:builtInUnit val="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</c:dispUnitsLbl>
        </c:dispUnits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45241445132838"/>
          <c:y val="4.3781094527363187E-2"/>
          <c:w val="0.6784628802277457"/>
          <c:h val="0.77527102590437047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WPF_bazowy!$D$57</c:f>
              <c:strCache>
                <c:ptCount val="1"/>
                <c:pt idx="0">
                  <c:v>kwota długu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cat>
            <c:numRef>
              <c:f>WPF_bazowy!$J$9:$O$9</c:f>
              <c:numCache>
                <c:formatCode>0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WPF_bazowy!$J$57:$O$57</c:f>
              <c:numCache>
                <c:formatCode>#\ ##0.00_ ;[Red]\-#\ ##0.00\ </c:formatCode>
                <c:ptCount val="6"/>
                <c:pt idx="0">
                  <c:v>4075000</c:v>
                </c:pt>
                <c:pt idx="1">
                  <c:v>2852500</c:v>
                </c:pt>
                <c:pt idx="2">
                  <c:v>1630000</c:v>
                </c:pt>
                <c:pt idx="3">
                  <c:v>920000</c:v>
                </c:pt>
                <c:pt idx="4">
                  <c:v>210000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63918848"/>
        <c:axId val="-363910688"/>
      </c:barChart>
      <c:lineChart>
        <c:grouping val="standard"/>
        <c:varyColors val="0"/>
        <c:ser>
          <c:idx val="0"/>
          <c:order val="0"/>
          <c:tx>
            <c:strRef>
              <c:f>WPF_bazowy!$D$73</c:f>
              <c:strCache>
                <c:ptCount val="1"/>
                <c:pt idx="0">
                  <c:v>relacja kwoty długu do dochodów ogółem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WPF_bazowy!$J$9:$O$9</c:f>
              <c:numCache>
                <c:formatCode>0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WPF_bazowy!$J$73:$O$73</c:f>
              <c:numCache>
                <c:formatCode>0.00%</c:formatCode>
                <c:ptCount val="6"/>
                <c:pt idx="0">
                  <c:v>4.36E-2</c:v>
                </c:pt>
                <c:pt idx="1">
                  <c:v>3.44E-2</c:v>
                </c:pt>
                <c:pt idx="2">
                  <c:v>1.9599999999999999E-2</c:v>
                </c:pt>
                <c:pt idx="3">
                  <c:v>1.1299999999999999E-2</c:v>
                </c:pt>
                <c:pt idx="4">
                  <c:v>2.5999999999999999E-3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63912320"/>
        <c:axId val="-363919392"/>
      </c:lineChart>
      <c:catAx>
        <c:axId val="-36391884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363910688"/>
        <c:crosses val="autoZero"/>
        <c:auto val="1"/>
        <c:lblAlgn val="ctr"/>
        <c:lblOffset val="100"/>
        <c:noMultiLvlLbl val="0"/>
      </c:catAx>
      <c:valAx>
        <c:axId val="-363910688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363918848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</c:dispUnitsLbl>
        </c:dispUnits>
      </c:valAx>
      <c:catAx>
        <c:axId val="-363912320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-363919392"/>
        <c:crosses val="autoZero"/>
        <c:auto val="1"/>
        <c:lblAlgn val="ctr"/>
        <c:lblOffset val="100"/>
        <c:noMultiLvlLbl val="0"/>
      </c:catAx>
      <c:valAx>
        <c:axId val="-363919392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-363912320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4.5453558117147602E-2"/>
          <c:y val="0.88083394053355268"/>
          <c:w val="0.67710540322431267"/>
          <c:h val="6.9206383624309808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9DA6-4E1B-46DD-8BB3-B54DBDAD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18</cp:revision>
  <cp:lastPrinted>2021-11-02T14:24:00Z</cp:lastPrinted>
  <dcterms:created xsi:type="dcterms:W3CDTF">2020-11-11T15:37:00Z</dcterms:created>
  <dcterms:modified xsi:type="dcterms:W3CDTF">2021-11-16T12:47:00Z</dcterms:modified>
</cp:coreProperties>
</file>