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ED" w:rsidRPr="003528BC" w:rsidRDefault="001352ED" w:rsidP="003528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hAnsi="Times New Roman"/>
          <w:b/>
          <w:sz w:val="24"/>
          <w:szCs w:val="24"/>
        </w:rPr>
      </w:pPr>
      <w:r w:rsidRPr="003528BC">
        <w:rPr>
          <w:rFonts w:ascii="Times New Roman" w:hAnsi="Times New Roman"/>
          <w:b/>
          <w:sz w:val="24"/>
          <w:szCs w:val="24"/>
        </w:rPr>
        <w:t>Objaśnienia wartości przyjętych w wieloletniej prognozie finansowej</w:t>
      </w:r>
    </w:p>
    <w:p w:rsidR="001352ED" w:rsidRPr="003528BC" w:rsidRDefault="001352ED" w:rsidP="003528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jc w:val="center"/>
        <w:rPr>
          <w:rFonts w:ascii="Times New Roman" w:hAnsi="Times New Roman"/>
          <w:b/>
          <w:sz w:val="24"/>
          <w:szCs w:val="24"/>
        </w:rPr>
      </w:pPr>
      <w:r w:rsidRPr="003528BC">
        <w:rPr>
          <w:rFonts w:ascii="Times New Roman" w:hAnsi="Times New Roman"/>
          <w:b/>
          <w:sz w:val="24"/>
          <w:szCs w:val="24"/>
        </w:rPr>
        <w:t>Powiatu Świdwińskiego na lata  2013 – 2024</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left"/>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Ustawa z dnia 27 sierpnia 2009 roku o finansach publicznych (Dz. U. Nr 157, poz. 1240) </w:t>
      </w:r>
      <w:r w:rsidR="00A20661">
        <w:rPr>
          <w:rFonts w:ascii="Times New Roman" w:hAnsi="Times New Roman"/>
          <w:sz w:val="24"/>
          <w:szCs w:val="24"/>
        </w:rPr>
        <w:t>w art. </w:t>
      </w:r>
      <w:r w:rsidRPr="00C74EE3">
        <w:rPr>
          <w:rFonts w:ascii="Times New Roman" w:hAnsi="Times New Roman"/>
          <w:sz w:val="24"/>
          <w:szCs w:val="24"/>
        </w:rPr>
        <w:t>226 nakłada obowiązek sporządzenia Wieloletniej Prognozy Finansowej</w:t>
      </w:r>
      <w:r w:rsidR="00A20661">
        <w:rPr>
          <w:rFonts w:ascii="Times New Roman" w:hAnsi="Times New Roman"/>
          <w:sz w:val="24"/>
          <w:szCs w:val="24"/>
        </w:rPr>
        <w:t xml:space="preserve"> </w:t>
      </w:r>
      <w:r w:rsidRPr="00C74EE3">
        <w:rPr>
          <w:rFonts w:ascii="Times New Roman" w:hAnsi="Times New Roman"/>
          <w:sz w:val="24"/>
          <w:szCs w:val="24"/>
        </w:rPr>
        <w:t xml:space="preserve">(WPF).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Wieloletnia prognoza finansowa obejmuje okres roku budżetowego oraz co najmniej trzech kolejnych lat. Okres objęty wieloletnią prognozą finansową nie może być jednak krótszy niż okres, na jaki przyjęto limity wydatków dla przedsięwzięć.</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Prognozę kwoty długu, stanowiącą integralną część wieloletniej prognozy finansowej, sporządza się na </w:t>
      </w:r>
      <w:proofErr w:type="gramStart"/>
      <w:r w:rsidRPr="00C74EE3">
        <w:rPr>
          <w:rFonts w:ascii="Times New Roman" w:hAnsi="Times New Roman"/>
          <w:sz w:val="24"/>
          <w:szCs w:val="24"/>
        </w:rPr>
        <w:t xml:space="preserve">okres , </w:t>
      </w:r>
      <w:proofErr w:type="gramEnd"/>
      <w:r w:rsidRPr="00C74EE3">
        <w:rPr>
          <w:rFonts w:ascii="Times New Roman" w:hAnsi="Times New Roman"/>
          <w:sz w:val="24"/>
          <w:szCs w:val="24"/>
        </w:rPr>
        <w:t>na który zaciągnięto oraz planuje się zaciągnąć zobowiązania, w przypadku Powiatu Świdwińskiego prognoza obejmuje lata 2013 – 2024.</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Celem przygotowania wieloletniej prognozy finansowej jest przedstawienie kondycji powiatowego </w:t>
      </w:r>
      <w:proofErr w:type="gramStart"/>
      <w:r w:rsidRPr="00C74EE3">
        <w:rPr>
          <w:rFonts w:ascii="Times New Roman" w:hAnsi="Times New Roman"/>
          <w:sz w:val="24"/>
          <w:szCs w:val="24"/>
        </w:rPr>
        <w:t>budżetu  na</w:t>
      </w:r>
      <w:proofErr w:type="gramEnd"/>
      <w:r w:rsidRPr="00C74EE3">
        <w:rPr>
          <w:rFonts w:ascii="Times New Roman" w:hAnsi="Times New Roman"/>
          <w:sz w:val="24"/>
          <w:szCs w:val="24"/>
        </w:rPr>
        <w:t xml:space="preserve"> dalsze lata, możliwości realizacji planowanych inwestycji,  oraz   możliwości i zdo</w:t>
      </w:r>
      <w:r w:rsidR="00A20661">
        <w:rPr>
          <w:rFonts w:ascii="Times New Roman" w:hAnsi="Times New Roman"/>
          <w:sz w:val="24"/>
          <w:szCs w:val="24"/>
        </w:rPr>
        <w:t>lności do  obsługi zobowiązań (</w:t>
      </w:r>
      <w:r w:rsidRPr="00C74EE3">
        <w:rPr>
          <w:rFonts w:ascii="Times New Roman" w:hAnsi="Times New Roman"/>
          <w:sz w:val="24"/>
          <w:szCs w:val="24"/>
        </w:rPr>
        <w:t xml:space="preserve">możliwości ich regulowania w określonym, planowanym okresie ) jak i obraz utrzymania płynności finansowej.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Podstawowe składniki wieloletniej prognozy </w:t>
      </w:r>
      <w:proofErr w:type="gramStart"/>
      <w:r w:rsidRPr="00C74EE3">
        <w:rPr>
          <w:rFonts w:ascii="Times New Roman" w:hAnsi="Times New Roman"/>
          <w:sz w:val="24"/>
          <w:szCs w:val="24"/>
        </w:rPr>
        <w:t>finansowej  to</w:t>
      </w:r>
      <w:proofErr w:type="gramEnd"/>
      <w:r w:rsidRPr="00C74EE3">
        <w:rPr>
          <w:rFonts w:ascii="Times New Roman" w:hAnsi="Times New Roman"/>
          <w:sz w:val="24"/>
          <w:szCs w:val="24"/>
        </w:rPr>
        <w:t xml:space="preserve"> real</w:t>
      </w:r>
      <w:r>
        <w:rPr>
          <w:rFonts w:ascii="Times New Roman" w:hAnsi="Times New Roman"/>
          <w:sz w:val="24"/>
          <w:szCs w:val="24"/>
        </w:rPr>
        <w:t xml:space="preserve">istyczne kwoty  dochodów           i </w:t>
      </w:r>
      <w:r w:rsidRPr="00C74EE3">
        <w:rPr>
          <w:rFonts w:ascii="Times New Roman" w:hAnsi="Times New Roman"/>
          <w:sz w:val="24"/>
          <w:szCs w:val="24"/>
        </w:rPr>
        <w:t>wydatków,   w podziale na bieżące i majątkowe.</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roofErr w:type="gramStart"/>
      <w:r w:rsidRPr="00C74EE3">
        <w:rPr>
          <w:rFonts w:ascii="Times New Roman" w:hAnsi="Times New Roman"/>
          <w:sz w:val="24"/>
          <w:szCs w:val="24"/>
        </w:rPr>
        <w:t>Objaśnienia  wartości</w:t>
      </w:r>
      <w:proofErr w:type="gramEnd"/>
      <w:r w:rsidRPr="00C74EE3">
        <w:rPr>
          <w:rFonts w:ascii="Times New Roman" w:hAnsi="Times New Roman"/>
          <w:sz w:val="24"/>
          <w:szCs w:val="24"/>
        </w:rPr>
        <w:t xml:space="preserve"> przyjętych w   WPF, dokonano w dwóch okresach czasowych:</w:t>
      </w:r>
    </w:p>
    <w:p w:rsidR="001352ED" w:rsidRPr="00C74EE3" w:rsidRDefault="001352ED" w:rsidP="00C74EE3">
      <w:pPr>
        <w:numPr>
          <w:ilvl w:val="0"/>
          <w:numId w:val="1"/>
        </w:num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roofErr w:type="gramStart"/>
      <w:r w:rsidRPr="00C74EE3">
        <w:rPr>
          <w:rFonts w:ascii="Times New Roman" w:hAnsi="Times New Roman"/>
          <w:sz w:val="24"/>
          <w:szCs w:val="24"/>
        </w:rPr>
        <w:t>okres</w:t>
      </w:r>
      <w:proofErr w:type="gramEnd"/>
      <w:r w:rsidRPr="00C74EE3">
        <w:rPr>
          <w:rFonts w:ascii="Times New Roman" w:hAnsi="Times New Roman"/>
          <w:sz w:val="24"/>
          <w:szCs w:val="24"/>
        </w:rPr>
        <w:t xml:space="preserve"> czasowy wynikający z ustawy o finansach publicznych tj. rok budżetowy 2013 oraz trzy kolejne lata tj. rok  2014 – 2016.</w:t>
      </w:r>
    </w:p>
    <w:p w:rsidR="001352ED" w:rsidRPr="00C74EE3" w:rsidRDefault="001352ED" w:rsidP="00C74EE3">
      <w:pPr>
        <w:numPr>
          <w:ilvl w:val="0"/>
          <w:numId w:val="1"/>
        </w:num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Okres </w:t>
      </w:r>
      <w:proofErr w:type="gramStart"/>
      <w:r w:rsidRPr="00C74EE3">
        <w:rPr>
          <w:rFonts w:ascii="Times New Roman" w:hAnsi="Times New Roman"/>
          <w:sz w:val="24"/>
          <w:szCs w:val="24"/>
        </w:rPr>
        <w:t>czasowy na jaki</w:t>
      </w:r>
      <w:proofErr w:type="gramEnd"/>
      <w:r w:rsidRPr="00C74EE3">
        <w:rPr>
          <w:rFonts w:ascii="Times New Roman" w:hAnsi="Times New Roman"/>
          <w:sz w:val="24"/>
          <w:szCs w:val="24"/>
        </w:rPr>
        <w:t xml:space="preserve"> zaciągnięto lub zaplanowano zaciągnięcie zobowiązań tj. lata 2013 - 2024</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b/>
          <w:bCs/>
          <w:sz w:val="24"/>
          <w:szCs w:val="24"/>
        </w:rPr>
      </w:pPr>
      <w:r w:rsidRPr="00C74EE3">
        <w:rPr>
          <w:rFonts w:ascii="Times New Roman" w:hAnsi="Times New Roman"/>
          <w:b/>
          <w:bCs/>
          <w:sz w:val="24"/>
          <w:szCs w:val="24"/>
        </w:rPr>
        <w:t>Dochody:</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u w:val="single"/>
        </w:rPr>
        <w:t>Dochody bieżące</w:t>
      </w:r>
      <w:r w:rsidRPr="00C74EE3">
        <w:rPr>
          <w:rFonts w:ascii="Times New Roman" w:hAnsi="Times New Roman"/>
          <w:sz w:val="24"/>
          <w:szCs w:val="24"/>
        </w:rPr>
        <w:t xml:space="preserve"> ( kol. 1.1) – wysokość </w:t>
      </w:r>
      <w:proofErr w:type="gramStart"/>
      <w:r w:rsidRPr="00C74EE3">
        <w:rPr>
          <w:rFonts w:ascii="Times New Roman" w:hAnsi="Times New Roman"/>
          <w:sz w:val="24"/>
          <w:szCs w:val="24"/>
        </w:rPr>
        <w:t>dochodów  bieżących</w:t>
      </w:r>
      <w:proofErr w:type="gramEnd"/>
      <w:r w:rsidRPr="00C74EE3">
        <w:rPr>
          <w:rFonts w:ascii="Times New Roman" w:hAnsi="Times New Roman"/>
          <w:sz w:val="24"/>
          <w:szCs w:val="24"/>
        </w:rPr>
        <w:t xml:space="preserve">, w latach   2014  do 2016,  ustalono w oparciu o  wskaźnik  wzrostu  ( do planowanych dochodów roku poprzedniego)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708" w:firstLine="708"/>
        <w:rPr>
          <w:rFonts w:ascii="Times New Roman" w:hAnsi="Times New Roman"/>
          <w:sz w:val="24"/>
          <w:szCs w:val="24"/>
          <w:u w:val="single"/>
        </w:rPr>
      </w:pPr>
      <w:r w:rsidRPr="00C74EE3">
        <w:rPr>
          <w:rFonts w:ascii="Times New Roman" w:hAnsi="Times New Roman"/>
          <w:sz w:val="24"/>
          <w:szCs w:val="24"/>
          <w:u w:val="single"/>
        </w:rPr>
        <w:t>wskaźnik</w:t>
      </w:r>
      <w:r w:rsidRPr="00C74EE3">
        <w:rPr>
          <w:rFonts w:ascii="Times New Roman" w:hAnsi="Times New Roman"/>
          <w:sz w:val="24"/>
          <w:szCs w:val="24"/>
          <w:u w:val="single"/>
        </w:rPr>
        <w:tab/>
        <w:t xml:space="preserve">2014 </w:t>
      </w:r>
      <w:proofErr w:type="gramStart"/>
      <w:r w:rsidRPr="00C74EE3">
        <w:rPr>
          <w:rFonts w:ascii="Times New Roman" w:hAnsi="Times New Roman"/>
          <w:sz w:val="24"/>
          <w:szCs w:val="24"/>
          <w:u w:val="single"/>
        </w:rPr>
        <w:t xml:space="preserve">r.   </w:t>
      </w:r>
      <w:r w:rsidRPr="00C74EE3">
        <w:rPr>
          <w:rFonts w:ascii="Times New Roman" w:hAnsi="Times New Roman"/>
          <w:sz w:val="24"/>
          <w:szCs w:val="24"/>
          <w:u w:val="single"/>
        </w:rPr>
        <w:tab/>
        <w:t>2015 r</w:t>
      </w:r>
      <w:proofErr w:type="gramEnd"/>
      <w:r w:rsidRPr="00C74EE3">
        <w:rPr>
          <w:rFonts w:ascii="Times New Roman" w:hAnsi="Times New Roman"/>
          <w:sz w:val="24"/>
          <w:szCs w:val="24"/>
          <w:u w:val="single"/>
        </w:rPr>
        <w:t>.</w:t>
      </w:r>
      <w:r w:rsidRPr="00C74EE3">
        <w:rPr>
          <w:rFonts w:ascii="Times New Roman" w:hAnsi="Times New Roman"/>
          <w:sz w:val="24"/>
          <w:szCs w:val="24"/>
          <w:u w:val="single"/>
        </w:rPr>
        <w:tab/>
        <w:t xml:space="preserve">       2016 r.</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proofErr w:type="gramStart"/>
      <w:r>
        <w:rPr>
          <w:rFonts w:ascii="Times New Roman" w:hAnsi="Times New Roman"/>
          <w:sz w:val="24"/>
          <w:szCs w:val="24"/>
        </w:rPr>
        <w:t>przyjęto</w:t>
      </w:r>
      <w:proofErr w:type="gramEnd"/>
      <w:r>
        <w:rPr>
          <w:rFonts w:ascii="Times New Roman" w:hAnsi="Times New Roman"/>
          <w:sz w:val="24"/>
          <w:szCs w:val="24"/>
        </w:rPr>
        <w:t xml:space="preserve"> </w:t>
      </w:r>
      <w:r>
        <w:rPr>
          <w:rFonts w:ascii="Times New Roman" w:hAnsi="Times New Roman"/>
          <w:sz w:val="24"/>
          <w:szCs w:val="24"/>
        </w:rPr>
        <w:tab/>
        <w:t xml:space="preserve">  3,0</w:t>
      </w:r>
      <w:r>
        <w:rPr>
          <w:rFonts w:ascii="Times New Roman" w:hAnsi="Times New Roman"/>
          <w:sz w:val="24"/>
          <w:szCs w:val="24"/>
        </w:rPr>
        <w:tab/>
      </w:r>
      <w:r>
        <w:rPr>
          <w:rFonts w:ascii="Times New Roman" w:hAnsi="Times New Roman"/>
          <w:sz w:val="24"/>
          <w:szCs w:val="24"/>
        </w:rPr>
        <w:tab/>
        <w:t xml:space="preserve"> 3,0</w:t>
      </w:r>
      <w:r>
        <w:rPr>
          <w:rFonts w:ascii="Times New Roman" w:hAnsi="Times New Roman"/>
          <w:sz w:val="24"/>
          <w:szCs w:val="24"/>
        </w:rPr>
        <w:tab/>
        <w:t xml:space="preserve">        3,0</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 </w:t>
      </w:r>
      <w:proofErr w:type="gramStart"/>
      <w:r w:rsidRPr="00C74EE3">
        <w:rPr>
          <w:rFonts w:ascii="Times New Roman" w:hAnsi="Times New Roman"/>
          <w:sz w:val="24"/>
          <w:szCs w:val="24"/>
        </w:rPr>
        <w:t>natomiast</w:t>
      </w:r>
      <w:proofErr w:type="gramEnd"/>
      <w:r w:rsidRPr="00C74EE3">
        <w:rPr>
          <w:rFonts w:ascii="Times New Roman" w:hAnsi="Times New Roman"/>
          <w:sz w:val="24"/>
          <w:szCs w:val="24"/>
        </w:rPr>
        <w:t xml:space="preserve"> w latach  2017 - 2024</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708"/>
        <w:rPr>
          <w:rFonts w:ascii="Times New Roman" w:hAnsi="Times New Roman"/>
          <w:sz w:val="24"/>
          <w:szCs w:val="24"/>
          <w:u w:val="single"/>
        </w:rPr>
      </w:pPr>
      <w:proofErr w:type="gramStart"/>
      <w:r w:rsidRPr="00C74EE3">
        <w:rPr>
          <w:rFonts w:ascii="Times New Roman" w:hAnsi="Times New Roman"/>
          <w:sz w:val="24"/>
          <w:szCs w:val="24"/>
          <w:u w:val="single"/>
        </w:rPr>
        <w:t>wskaźnik</w:t>
      </w:r>
      <w:r w:rsidRPr="00C74EE3">
        <w:rPr>
          <w:rFonts w:ascii="Times New Roman" w:hAnsi="Times New Roman"/>
          <w:sz w:val="24"/>
          <w:szCs w:val="24"/>
          <w:u w:val="single"/>
        </w:rPr>
        <w:tab/>
        <w:t>2017</w:t>
      </w:r>
      <w:r w:rsidRPr="00C74EE3">
        <w:rPr>
          <w:rFonts w:ascii="Times New Roman" w:hAnsi="Times New Roman"/>
          <w:sz w:val="24"/>
          <w:szCs w:val="24"/>
          <w:u w:val="single"/>
        </w:rPr>
        <w:tab/>
        <w:t xml:space="preserve">   2018    2019     2020    2021    2022    </w:t>
      </w:r>
      <w:proofErr w:type="gramEnd"/>
      <w:r w:rsidRPr="00C74EE3">
        <w:rPr>
          <w:rFonts w:ascii="Times New Roman" w:hAnsi="Times New Roman"/>
          <w:sz w:val="24"/>
          <w:szCs w:val="24"/>
          <w:u w:val="single"/>
        </w:rPr>
        <w:t>2023   2024</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8"/>
        <w:rPr>
          <w:rFonts w:ascii="Times New Roman" w:hAnsi="Times New Roman"/>
          <w:sz w:val="24"/>
          <w:szCs w:val="24"/>
        </w:rPr>
      </w:pPr>
      <w:r w:rsidRPr="00C74EE3">
        <w:rPr>
          <w:rFonts w:ascii="Times New Roman" w:hAnsi="Times New Roman"/>
          <w:sz w:val="24"/>
          <w:szCs w:val="24"/>
        </w:rPr>
        <w:t xml:space="preserve"> </w:t>
      </w:r>
      <w:proofErr w:type="gramStart"/>
      <w:r w:rsidRPr="00C74EE3">
        <w:rPr>
          <w:rFonts w:ascii="Times New Roman" w:hAnsi="Times New Roman"/>
          <w:sz w:val="24"/>
          <w:szCs w:val="24"/>
        </w:rPr>
        <w:t>przyjęto</w:t>
      </w:r>
      <w:r w:rsidRPr="00C74EE3">
        <w:rPr>
          <w:rFonts w:ascii="Times New Roman" w:hAnsi="Times New Roman"/>
          <w:sz w:val="24"/>
          <w:szCs w:val="24"/>
        </w:rPr>
        <w:tab/>
        <w:t xml:space="preserve"> 2,0</w:t>
      </w:r>
      <w:r w:rsidRPr="00C74EE3">
        <w:rPr>
          <w:rFonts w:ascii="Times New Roman" w:hAnsi="Times New Roman"/>
          <w:sz w:val="24"/>
          <w:szCs w:val="24"/>
        </w:rPr>
        <w:tab/>
        <w:t xml:space="preserve">     2,0       </w:t>
      </w:r>
      <w:proofErr w:type="spellStart"/>
      <w:r w:rsidRPr="00C74EE3">
        <w:rPr>
          <w:rFonts w:ascii="Times New Roman" w:hAnsi="Times New Roman"/>
          <w:sz w:val="24"/>
          <w:szCs w:val="24"/>
        </w:rPr>
        <w:t>2,0</w:t>
      </w:r>
      <w:proofErr w:type="spellEnd"/>
      <w:r w:rsidRPr="00C74EE3">
        <w:rPr>
          <w:rFonts w:ascii="Times New Roman" w:hAnsi="Times New Roman"/>
          <w:sz w:val="24"/>
          <w:szCs w:val="24"/>
        </w:rPr>
        <w:t xml:space="preserve">       </w:t>
      </w:r>
      <w:proofErr w:type="spellStart"/>
      <w:r w:rsidRPr="00C74EE3">
        <w:rPr>
          <w:rFonts w:ascii="Times New Roman" w:hAnsi="Times New Roman"/>
          <w:sz w:val="24"/>
          <w:szCs w:val="24"/>
        </w:rPr>
        <w:t>2,0</w:t>
      </w:r>
      <w:proofErr w:type="spellEnd"/>
      <w:r w:rsidRPr="00C74EE3">
        <w:rPr>
          <w:rFonts w:ascii="Times New Roman" w:hAnsi="Times New Roman"/>
          <w:sz w:val="24"/>
          <w:szCs w:val="24"/>
        </w:rPr>
        <w:t xml:space="preserve">        </w:t>
      </w:r>
      <w:proofErr w:type="spellStart"/>
      <w:r w:rsidRPr="00C74EE3">
        <w:rPr>
          <w:rFonts w:ascii="Times New Roman" w:hAnsi="Times New Roman"/>
          <w:sz w:val="24"/>
          <w:szCs w:val="24"/>
        </w:rPr>
        <w:t>2,0</w:t>
      </w:r>
      <w:proofErr w:type="spellEnd"/>
      <w:r w:rsidRPr="00C74EE3">
        <w:rPr>
          <w:rFonts w:ascii="Times New Roman" w:hAnsi="Times New Roman"/>
          <w:sz w:val="24"/>
          <w:szCs w:val="24"/>
        </w:rPr>
        <w:t xml:space="preserve">     </w:t>
      </w:r>
      <w:proofErr w:type="gramEnd"/>
      <w:r w:rsidRPr="00C74EE3">
        <w:rPr>
          <w:rFonts w:ascii="Times New Roman" w:hAnsi="Times New Roman"/>
          <w:sz w:val="24"/>
          <w:szCs w:val="24"/>
        </w:rPr>
        <w:t xml:space="preserve">  </w:t>
      </w:r>
      <w:proofErr w:type="spellStart"/>
      <w:r w:rsidRPr="00C74EE3">
        <w:rPr>
          <w:rFonts w:ascii="Times New Roman" w:hAnsi="Times New Roman"/>
          <w:sz w:val="24"/>
          <w:szCs w:val="24"/>
        </w:rPr>
        <w:t>2,0</w:t>
      </w:r>
      <w:proofErr w:type="spellEnd"/>
      <w:r w:rsidRPr="00C74EE3">
        <w:rPr>
          <w:rFonts w:ascii="Times New Roman" w:hAnsi="Times New Roman"/>
          <w:sz w:val="24"/>
          <w:szCs w:val="24"/>
        </w:rPr>
        <w:t xml:space="preserve">       </w:t>
      </w:r>
      <w:proofErr w:type="spellStart"/>
      <w:r w:rsidRPr="00C74EE3">
        <w:rPr>
          <w:rFonts w:ascii="Times New Roman" w:hAnsi="Times New Roman"/>
          <w:sz w:val="24"/>
          <w:szCs w:val="24"/>
        </w:rPr>
        <w:t>2,0</w:t>
      </w:r>
      <w:proofErr w:type="spellEnd"/>
      <w:r w:rsidRPr="00C74EE3">
        <w:rPr>
          <w:rFonts w:ascii="Times New Roman" w:hAnsi="Times New Roman"/>
          <w:sz w:val="24"/>
          <w:szCs w:val="24"/>
        </w:rPr>
        <w:t xml:space="preserve">      </w:t>
      </w:r>
      <w:proofErr w:type="spellStart"/>
      <w:r w:rsidRPr="00C74EE3">
        <w:rPr>
          <w:rFonts w:ascii="Times New Roman" w:hAnsi="Times New Roman"/>
          <w:sz w:val="24"/>
          <w:szCs w:val="24"/>
        </w:rPr>
        <w:t>2,0</w:t>
      </w:r>
      <w:proofErr w:type="spellEnd"/>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u w:val="single"/>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u w:val="single"/>
        </w:rPr>
      </w:pPr>
      <w:r w:rsidRPr="00C74EE3">
        <w:rPr>
          <w:rFonts w:ascii="Times New Roman" w:hAnsi="Times New Roman"/>
          <w:sz w:val="24"/>
          <w:szCs w:val="24"/>
          <w:u w:val="single"/>
        </w:rPr>
        <w:t xml:space="preserve">Dochody majątkowe (kol.1.2.) </w:t>
      </w: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Wielkości dochodów majątkowych przyjęte do </w:t>
      </w:r>
      <w:proofErr w:type="gramStart"/>
      <w:r w:rsidRPr="00C74EE3">
        <w:rPr>
          <w:rFonts w:ascii="Times New Roman" w:hAnsi="Times New Roman"/>
          <w:sz w:val="24"/>
          <w:szCs w:val="24"/>
        </w:rPr>
        <w:t>WPF  w</w:t>
      </w:r>
      <w:proofErr w:type="gramEnd"/>
      <w:r w:rsidRPr="00C74EE3">
        <w:rPr>
          <w:rFonts w:ascii="Times New Roman" w:hAnsi="Times New Roman"/>
          <w:sz w:val="24"/>
          <w:szCs w:val="24"/>
        </w:rPr>
        <w:t xml:space="preserve"> latach 2013 – 2015,  ustalono w oparciu  o  wysokość  współfinansowania środkami zewnętrznym , np. środkami z Unii Europejskiej, Funduszami Szwajcarskimi bądź współfinansowania w ramach „Zielonych inwestycj</w:t>
      </w:r>
      <w:r>
        <w:rPr>
          <w:rFonts w:ascii="Times New Roman" w:hAnsi="Times New Roman"/>
          <w:sz w:val="24"/>
          <w:szCs w:val="24"/>
        </w:rPr>
        <w:t>i„</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lub</w:t>
      </w:r>
      <w:proofErr w:type="gramEnd"/>
      <w:r>
        <w:rPr>
          <w:rFonts w:ascii="Times New Roman" w:hAnsi="Times New Roman"/>
          <w:sz w:val="24"/>
          <w:szCs w:val="24"/>
        </w:rPr>
        <w:t xml:space="preserve"> dotacją z budżetu państwa. </w:t>
      </w:r>
      <w:r w:rsidRPr="00C74EE3">
        <w:rPr>
          <w:rFonts w:ascii="Times New Roman" w:hAnsi="Times New Roman"/>
          <w:sz w:val="24"/>
          <w:szCs w:val="24"/>
        </w:rPr>
        <w:t xml:space="preserve">Zaplanowano również dochody stanowiące </w:t>
      </w:r>
      <w:proofErr w:type="gramStart"/>
      <w:r w:rsidRPr="00C74EE3">
        <w:rPr>
          <w:rFonts w:ascii="Times New Roman" w:hAnsi="Times New Roman"/>
          <w:sz w:val="24"/>
          <w:szCs w:val="24"/>
        </w:rPr>
        <w:t xml:space="preserve">udział  </w:t>
      </w:r>
      <w:r>
        <w:rPr>
          <w:rFonts w:ascii="Times New Roman" w:hAnsi="Times New Roman"/>
          <w:sz w:val="24"/>
          <w:szCs w:val="24"/>
        </w:rPr>
        <w:t xml:space="preserve">                      </w:t>
      </w:r>
      <w:r w:rsidRPr="00C74EE3">
        <w:rPr>
          <w:rFonts w:ascii="Times New Roman" w:hAnsi="Times New Roman"/>
          <w:sz w:val="24"/>
          <w:szCs w:val="24"/>
        </w:rPr>
        <w:t>(dofinansowanie</w:t>
      </w:r>
      <w:proofErr w:type="gramEnd"/>
      <w:r w:rsidRPr="00C74EE3">
        <w:rPr>
          <w:rFonts w:ascii="Times New Roman" w:hAnsi="Times New Roman"/>
          <w:sz w:val="24"/>
          <w:szCs w:val="24"/>
        </w:rPr>
        <w:t xml:space="preserve">)  gmin, na terenie których  będą realizowane inwestycje. </w:t>
      </w: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W latach objętych WPF nie planuje się dochodów ze sprzedaży mienia powiatu.</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W stosunku do uchwalonej WPF z 23 marca 2013 roku dochody majątkowe roku 2014 zwiększono o 225.000 </w:t>
      </w:r>
      <w:proofErr w:type="gramStart"/>
      <w:r w:rsidRPr="00C74EE3">
        <w:rPr>
          <w:rFonts w:ascii="Times New Roman" w:hAnsi="Times New Roman"/>
          <w:sz w:val="24"/>
          <w:szCs w:val="24"/>
        </w:rPr>
        <w:t>zł</w:t>
      </w:r>
      <w:proofErr w:type="gramEnd"/>
      <w:r w:rsidRPr="00C74EE3">
        <w:rPr>
          <w:rFonts w:ascii="Times New Roman" w:hAnsi="Times New Roman"/>
          <w:sz w:val="24"/>
          <w:szCs w:val="24"/>
        </w:rPr>
        <w:t xml:space="preserve"> i roku 2015 o kwotę 75.000 zł w tytułem realizacji przedsięwzięcia "Budowa sieci typu NGN, infrastruktury </w:t>
      </w:r>
      <w:proofErr w:type="gramStart"/>
      <w:r w:rsidRPr="00C74EE3">
        <w:rPr>
          <w:rFonts w:ascii="Times New Roman" w:hAnsi="Times New Roman"/>
          <w:sz w:val="24"/>
          <w:szCs w:val="24"/>
        </w:rPr>
        <w:t xml:space="preserve">hot-spot ..." </w:t>
      </w:r>
      <w:proofErr w:type="gramEnd"/>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W stosunku do uchwalonej WPR z dnia 23 maja 2013 r. dochody majątkowe roku 2013 pomn</w:t>
      </w:r>
      <w:r w:rsidR="00A20661">
        <w:rPr>
          <w:rFonts w:ascii="Times New Roman" w:hAnsi="Times New Roman"/>
          <w:sz w:val="24"/>
          <w:szCs w:val="24"/>
        </w:rPr>
        <w:t xml:space="preserve">iejszono o kwotę 1.102.045 </w:t>
      </w:r>
      <w:proofErr w:type="gramStart"/>
      <w:r w:rsidR="00A20661">
        <w:rPr>
          <w:rFonts w:ascii="Times New Roman" w:hAnsi="Times New Roman"/>
          <w:sz w:val="24"/>
          <w:szCs w:val="24"/>
        </w:rPr>
        <w:t>zł</w:t>
      </w:r>
      <w:proofErr w:type="gramEnd"/>
      <w:r w:rsidR="00A20661">
        <w:rPr>
          <w:rFonts w:ascii="Times New Roman" w:hAnsi="Times New Roman"/>
          <w:sz w:val="24"/>
          <w:szCs w:val="24"/>
        </w:rPr>
        <w:t xml:space="preserve"> (</w:t>
      </w:r>
      <w:r>
        <w:rPr>
          <w:rFonts w:ascii="Times New Roman" w:hAnsi="Times New Roman"/>
          <w:sz w:val="24"/>
          <w:szCs w:val="24"/>
        </w:rPr>
        <w:t xml:space="preserve">634.545 </w:t>
      </w:r>
      <w:proofErr w:type="gramStart"/>
      <w:r>
        <w:rPr>
          <w:rFonts w:ascii="Times New Roman" w:hAnsi="Times New Roman"/>
          <w:sz w:val="24"/>
          <w:szCs w:val="24"/>
        </w:rPr>
        <w:t>zł</w:t>
      </w:r>
      <w:proofErr w:type="gramEnd"/>
      <w:r>
        <w:rPr>
          <w:rFonts w:ascii="Times New Roman" w:hAnsi="Times New Roman"/>
          <w:sz w:val="24"/>
          <w:szCs w:val="24"/>
        </w:rPr>
        <w:t xml:space="preserve"> – dotacja z budżetu państwa na realizację inwestycji drogowej, i kwotę 467.500 zł </w:t>
      </w:r>
      <w:proofErr w:type="gramStart"/>
      <w:r>
        <w:rPr>
          <w:rFonts w:ascii="Times New Roman" w:hAnsi="Times New Roman"/>
          <w:sz w:val="24"/>
          <w:szCs w:val="24"/>
        </w:rPr>
        <w:t>współfinansowanie  w</w:t>
      </w:r>
      <w:proofErr w:type="gramEnd"/>
      <w:r>
        <w:rPr>
          <w:rFonts w:ascii="Times New Roman" w:hAnsi="Times New Roman"/>
          <w:sz w:val="24"/>
          <w:szCs w:val="24"/>
        </w:rPr>
        <w:t xml:space="preserve"> ramach „ Szwajcarsko-Polskiego Programu Współpracy” w wyniku  przeniesienia zadnia  do realizacji na rok 2015)</w:t>
      </w: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Pr>
          <w:rFonts w:ascii="Times New Roman" w:hAnsi="Times New Roman"/>
          <w:sz w:val="24"/>
          <w:szCs w:val="24"/>
        </w:rPr>
        <w:t xml:space="preserve">Planowane na rok 2014 dochody majątkowe powiększono o kwotę 1.773.732 </w:t>
      </w:r>
      <w:proofErr w:type="gramStart"/>
      <w:r>
        <w:rPr>
          <w:rFonts w:ascii="Times New Roman" w:hAnsi="Times New Roman"/>
          <w:sz w:val="24"/>
          <w:szCs w:val="24"/>
        </w:rPr>
        <w:t>zł  w</w:t>
      </w:r>
      <w:proofErr w:type="gramEnd"/>
      <w:r>
        <w:rPr>
          <w:rFonts w:ascii="Times New Roman" w:hAnsi="Times New Roman"/>
          <w:sz w:val="24"/>
          <w:szCs w:val="24"/>
        </w:rPr>
        <w:t xml:space="preserve"> wyniku planowanych zadań inwestycyjnych  wykazanych w tabeli Nr 2 –Zadania inwestycyjne do realizacji w 2014 r.</w:t>
      </w: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Pr>
          <w:rFonts w:ascii="Times New Roman" w:hAnsi="Times New Roman"/>
          <w:sz w:val="24"/>
          <w:szCs w:val="24"/>
        </w:rPr>
        <w:t xml:space="preserve">Dochody majątkowe na rok 2015 pomniejszono o kwotę 2.500.000 zł z powodu zmiany planowanych </w:t>
      </w:r>
      <w:proofErr w:type="gramStart"/>
      <w:r>
        <w:rPr>
          <w:rFonts w:ascii="Times New Roman" w:hAnsi="Times New Roman"/>
          <w:sz w:val="24"/>
          <w:szCs w:val="24"/>
        </w:rPr>
        <w:t xml:space="preserve">inwestycji . </w:t>
      </w:r>
      <w:proofErr w:type="gramEnd"/>
      <w:r>
        <w:rPr>
          <w:rFonts w:ascii="Times New Roman" w:hAnsi="Times New Roman"/>
          <w:sz w:val="24"/>
          <w:szCs w:val="24"/>
        </w:rPr>
        <w:t>Zadania inwestycyjne do realizacji w 2015 r. wykazano w Tabeli Nr 3.</w:t>
      </w: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Pr>
          <w:rFonts w:ascii="Times New Roman" w:hAnsi="Times New Roman"/>
          <w:sz w:val="24"/>
          <w:szCs w:val="24"/>
        </w:rPr>
        <w:t xml:space="preserve">W stosunku do uchwalonej WPF z dnia 26.09.2013 </w:t>
      </w:r>
      <w:proofErr w:type="gramStart"/>
      <w:r>
        <w:rPr>
          <w:rFonts w:ascii="Times New Roman" w:hAnsi="Times New Roman"/>
          <w:sz w:val="24"/>
          <w:szCs w:val="24"/>
        </w:rPr>
        <w:t>r</w:t>
      </w:r>
      <w:proofErr w:type="gramEnd"/>
      <w:r>
        <w:rPr>
          <w:rFonts w:ascii="Times New Roman" w:hAnsi="Times New Roman"/>
          <w:sz w:val="24"/>
          <w:szCs w:val="24"/>
        </w:rPr>
        <w:t xml:space="preserve">. dochody majątkowe roku 2014 zwiększono o kwotę 1.875.000 zł w wyniku wprowadzenia zadania inwestycyjnego „Energia odnawialna i Zarządzanie Energią – Wykorzystanie Energii Wiatrowej i </w:t>
      </w:r>
      <w:proofErr w:type="gramStart"/>
      <w:r>
        <w:rPr>
          <w:rFonts w:ascii="Times New Roman" w:hAnsi="Times New Roman"/>
          <w:sz w:val="24"/>
          <w:szCs w:val="24"/>
        </w:rPr>
        <w:t>Słonecznej  na</w:t>
      </w:r>
      <w:proofErr w:type="gramEnd"/>
      <w:r>
        <w:rPr>
          <w:rFonts w:ascii="Times New Roman" w:hAnsi="Times New Roman"/>
          <w:sz w:val="24"/>
          <w:szCs w:val="24"/>
        </w:rPr>
        <w:t xml:space="preserve"> kwot</w:t>
      </w:r>
      <w:r w:rsidR="00A20661">
        <w:rPr>
          <w:rFonts w:ascii="Times New Roman" w:hAnsi="Times New Roman"/>
          <w:sz w:val="24"/>
          <w:szCs w:val="24"/>
        </w:rPr>
        <w:t xml:space="preserve">ę dofinansowania 1.875.000 </w:t>
      </w:r>
      <w:proofErr w:type="gramStart"/>
      <w:r w:rsidR="00A20661">
        <w:rPr>
          <w:rFonts w:ascii="Times New Roman" w:hAnsi="Times New Roman"/>
          <w:sz w:val="24"/>
          <w:szCs w:val="24"/>
        </w:rPr>
        <w:t>zł</w:t>
      </w:r>
      <w:proofErr w:type="gramEnd"/>
      <w:r w:rsidR="00A20661">
        <w:rPr>
          <w:rFonts w:ascii="Times New Roman" w:hAnsi="Times New Roman"/>
          <w:sz w:val="24"/>
          <w:szCs w:val="24"/>
        </w:rPr>
        <w:t xml:space="preserve"> (</w:t>
      </w:r>
      <w:r>
        <w:rPr>
          <w:rFonts w:ascii="Times New Roman" w:hAnsi="Times New Roman"/>
          <w:sz w:val="24"/>
          <w:szCs w:val="24"/>
        </w:rPr>
        <w:t xml:space="preserve">poz. 8 tabeli Nr 2)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74EE3">
        <w:rPr>
          <w:rFonts w:ascii="Times New Roman" w:hAnsi="Times New Roman"/>
          <w:sz w:val="24"/>
          <w:szCs w:val="24"/>
        </w:rPr>
        <w:t>Po roku 2015 nie przyjęto żadnych wielkości dochodów majątkowych z uwagi na brak informacji na temat pozyskiwania środków unijnych, otrzymania dotacji z budżetu państwa, oraz ewentualnej pomocy od innych jednostek samorządowych.</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  </w:t>
      </w:r>
      <w:r w:rsidRPr="00C74EE3">
        <w:rPr>
          <w:rFonts w:ascii="Times New Roman" w:hAnsi="Times New Roman"/>
          <w:b/>
          <w:bCs/>
          <w:sz w:val="24"/>
          <w:szCs w:val="24"/>
        </w:rPr>
        <w:t>Wydatki</w:t>
      </w:r>
      <w:r w:rsidR="00A20661">
        <w:rPr>
          <w:rFonts w:ascii="Times New Roman" w:hAnsi="Times New Roman"/>
          <w:b/>
          <w:bCs/>
          <w:sz w:val="24"/>
          <w:szCs w:val="24"/>
        </w:rPr>
        <w:t>:</w:t>
      </w:r>
      <w:r w:rsidRPr="00C74EE3">
        <w:rPr>
          <w:rFonts w:ascii="Times New Roman" w:hAnsi="Times New Roman"/>
          <w:b/>
          <w:bCs/>
          <w:sz w:val="24"/>
          <w:szCs w:val="24"/>
        </w:rPr>
        <w:t xml:space="preserve"> </w:t>
      </w:r>
      <w:r w:rsidRPr="00C74EE3">
        <w:rPr>
          <w:rFonts w:ascii="Times New Roman" w:hAnsi="Times New Roman"/>
          <w:sz w:val="24"/>
          <w:szCs w:val="24"/>
          <w:u w:val="single"/>
        </w:rPr>
        <w:t xml:space="preserve">Wydatki bieżące </w:t>
      </w:r>
      <w:r w:rsidR="00A20661">
        <w:rPr>
          <w:rFonts w:ascii="Times New Roman" w:hAnsi="Times New Roman"/>
          <w:sz w:val="24"/>
          <w:szCs w:val="24"/>
        </w:rPr>
        <w:t>(</w:t>
      </w:r>
      <w:r w:rsidRPr="00C74EE3">
        <w:rPr>
          <w:rFonts w:ascii="Times New Roman" w:hAnsi="Times New Roman"/>
          <w:sz w:val="24"/>
          <w:szCs w:val="24"/>
        </w:rPr>
        <w:t>kol. 2.1.) ustalono</w:t>
      </w:r>
      <w:r w:rsidR="00A20661">
        <w:rPr>
          <w:rFonts w:ascii="Times New Roman" w:hAnsi="Times New Roman"/>
          <w:sz w:val="24"/>
          <w:szCs w:val="24"/>
        </w:rPr>
        <w:t xml:space="preserve"> w oparciu o wskaźnik wzrostu w </w:t>
      </w:r>
      <w:r w:rsidRPr="00C74EE3">
        <w:rPr>
          <w:rFonts w:ascii="Times New Roman" w:hAnsi="Times New Roman"/>
          <w:sz w:val="24"/>
          <w:szCs w:val="24"/>
        </w:rPr>
        <w:t xml:space="preserve">poszczególnych latach, biorąc pod </w:t>
      </w:r>
      <w:proofErr w:type="gramStart"/>
      <w:r w:rsidRPr="00C74EE3">
        <w:rPr>
          <w:rFonts w:ascii="Times New Roman" w:hAnsi="Times New Roman"/>
          <w:sz w:val="24"/>
          <w:szCs w:val="24"/>
        </w:rPr>
        <w:t>uwagę  dynamikę</w:t>
      </w:r>
      <w:proofErr w:type="gramEnd"/>
      <w:r w:rsidRPr="00C74EE3">
        <w:rPr>
          <w:rFonts w:ascii="Times New Roman" w:hAnsi="Times New Roman"/>
          <w:sz w:val="24"/>
          <w:szCs w:val="24"/>
        </w:rPr>
        <w:t xml:space="preserve"> wzrostu cen towarów  i usług konsumpcyjnych.</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left"/>
        <w:rPr>
          <w:rFonts w:ascii="Times New Roman" w:hAnsi="Times New Roman"/>
          <w:sz w:val="24"/>
          <w:szCs w:val="24"/>
        </w:rPr>
      </w:pPr>
      <w:r w:rsidRPr="00C74EE3">
        <w:rPr>
          <w:rFonts w:ascii="Times New Roman" w:hAnsi="Times New Roman"/>
          <w:sz w:val="24"/>
          <w:szCs w:val="24"/>
        </w:rPr>
        <w:t xml:space="preserve">Wskaźniki przyjęte do planowania wydatków </w:t>
      </w:r>
      <w:proofErr w:type="gramStart"/>
      <w:r w:rsidRPr="00C74EE3">
        <w:rPr>
          <w:rFonts w:ascii="Times New Roman" w:hAnsi="Times New Roman"/>
          <w:sz w:val="24"/>
          <w:szCs w:val="24"/>
        </w:rPr>
        <w:t>bieżących :</w:t>
      </w:r>
      <w:proofErr w:type="gramEnd"/>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left"/>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u w:val="single"/>
        </w:rPr>
      </w:pPr>
      <w:proofErr w:type="gramStart"/>
      <w:r w:rsidRPr="00C74EE3">
        <w:rPr>
          <w:rFonts w:ascii="Times New Roman" w:hAnsi="Times New Roman"/>
          <w:sz w:val="24"/>
          <w:szCs w:val="24"/>
          <w:u w:val="single"/>
        </w:rPr>
        <w:t>Wskaźniki         2014</w:t>
      </w:r>
      <w:r w:rsidRPr="00C74EE3">
        <w:rPr>
          <w:rFonts w:ascii="Times New Roman" w:hAnsi="Times New Roman"/>
          <w:sz w:val="24"/>
          <w:szCs w:val="24"/>
          <w:u w:val="single"/>
        </w:rPr>
        <w:tab/>
        <w:t xml:space="preserve"> 2015</w:t>
      </w:r>
      <w:r w:rsidRPr="00C74EE3">
        <w:rPr>
          <w:rFonts w:ascii="Times New Roman" w:hAnsi="Times New Roman"/>
          <w:sz w:val="24"/>
          <w:szCs w:val="24"/>
          <w:u w:val="single"/>
        </w:rPr>
        <w:tab/>
        <w:t xml:space="preserve">  2016    2017</w:t>
      </w:r>
      <w:r w:rsidRPr="00C74EE3">
        <w:rPr>
          <w:rFonts w:ascii="Times New Roman" w:hAnsi="Times New Roman"/>
          <w:sz w:val="24"/>
          <w:szCs w:val="24"/>
          <w:u w:val="single"/>
        </w:rPr>
        <w:tab/>
        <w:t xml:space="preserve">  2018    2019</w:t>
      </w:r>
      <w:r w:rsidRPr="00C74EE3">
        <w:rPr>
          <w:rFonts w:ascii="Times New Roman" w:hAnsi="Times New Roman"/>
          <w:sz w:val="24"/>
          <w:szCs w:val="24"/>
          <w:u w:val="single"/>
        </w:rPr>
        <w:tab/>
      </w:r>
      <w:proofErr w:type="gramEnd"/>
      <w:r w:rsidRPr="00C74EE3">
        <w:rPr>
          <w:rFonts w:ascii="Times New Roman" w:hAnsi="Times New Roman"/>
          <w:sz w:val="24"/>
          <w:szCs w:val="24"/>
          <w:u w:val="single"/>
        </w:rPr>
        <w:t xml:space="preserve">  2020    2021   2022  2023  2024</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roofErr w:type="gramStart"/>
      <w:r w:rsidRPr="00C74EE3">
        <w:rPr>
          <w:rFonts w:ascii="Times New Roman" w:hAnsi="Times New Roman"/>
          <w:sz w:val="24"/>
          <w:szCs w:val="24"/>
        </w:rPr>
        <w:t>CPI</w:t>
      </w:r>
      <w:r w:rsidRPr="00C74EE3">
        <w:rPr>
          <w:rFonts w:ascii="Times New Roman" w:hAnsi="Times New Roman"/>
          <w:sz w:val="24"/>
          <w:szCs w:val="24"/>
        </w:rPr>
        <w:tab/>
      </w:r>
      <w:r w:rsidRPr="00C74EE3">
        <w:rPr>
          <w:rFonts w:ascii="Times New Roman" w:hAnsi="Times New Roman"/>
          <w:sz w:val="24"/>
          <w:szCs w:val="24"/>
        </w:rPr>
        <w:tab/>
        <w:t xml:space="preserve"> 2,3         2,5</w:t>
      </w:r>
      <w:r w:rsidRPr="00C74EE3">
        <w:rPr>
          <w:rFonts w:ascii="Times New Roman" w:hAnsi="Times New Roman"/>
          <w:sz w:val="24"/>
          <w:szCs w:val="24"/>
        </w:rPr>
        <w:tab/>
        <w:t xml:space="preserve">  2,5</w:t>
      </w:r>
      <w:r w:rsidRPr="00C74EE3">
        <w:rPr>
          <w:rFonts w:ascii="Times New Roman" w:hAnsi="Times New Roman"/>
          <w:sz w:val="24"/>
          <w:szCs w:val="24"/>
        </w:rPr>
        <w:tab/>
        <w:t xml:space="preserve">   2,5</w:t>
      </w:r>
      <w:r w:rsidRPr="00C74EE3">
        <w:rPr>
          <w:rFonts w:ascii="Times New Roman" w:hAnsi="Times New Roman"/>
          <w:sz w:val="24"/>
          <w:szCs w:val="24"/>
        </w:rPr>
        <w:tab/>
        <w:t xml:space="preserve">   2,4</w:t>
      </w:r>
      <w:r w:rsidRPr="00C74EE3">
        <w:rPr>
          <w:rFonts w:ascii="Times New Roman" w:hAnsi="Times New Roman"/>
          <w:sz w:val="24"/>
          <w:szCs w:val="24"/>
        </w:rPr>
        <w:tab/>
        <w:t xml:space="preserve">   2,4</w:t>
      </w:r>
      <w:r w:rsidRPr="00C74EE3">
        <w:rPr>
          <w:rFonts w:ascii="Times New Roman" w:hAnsi="Times New Roman"/>
          <w:sz w:val="24"/>
          <w:szCs w:val="24"/>
        </w:rPr>
        <w:tab/>
        <w:t xml:space="preserve">   2</w:t>
      </w:r>
      <w:proofErr w:type="gramEnd"/>
      <w:r w:rsidRPr="00C74EE3">
        <w:rPr>
          <w:rFonts w:ascii="Times New Roman" w:hAnsi="Times New Roman"/>
          <w:sz w:val="24"/>
          <w:szCs w:val="24"/>
        </w:rPr>
        <w:t xml:space="preserve">,4       </w:t>
      </w:r>
      <w:proofErr w:type="spellStart"/>
      <w:r w:rsidRPr="00C74EE3">
        <w:rPr>
          <w:rFonts w:ascii="Times New Roman" w:hAnsi="Times New Roman"/>
          <w:sz w:val="24"/>
          <w:szCs w:val="24"/>
        </w:rPr>
        <w:t>2,4</w:t>
      </w:r>
      <w:proofErr w:type="spellEnd"/>
      <w:r w:rsidRPr="00C74EE3">
        <w:rPr>
          <w:rFonts w:ascii="Times New Roman" w:hAnsi="Times New Roman"/>
          <w:sz w:val="24"/>
          <w:szCs w:val="24"/>
        </w:rPr>
        <w:t xml:space="preserve">       </w:t>
      </w:r>
      <w:proofErr w:type="spellStart"/>
      <w:r w:rsidRPr="00C74EE3">
        <w:rPr>
          <w:rFonts w:ascii="Times New Roman" w:hAnsi="Times New Roman"/>
          <w:sz w:val="24"/>
          <w:szCs w:val="24"/>
        </w:rPr>
        <w:t>2,4</w:t>
      </w:r>
      <w:proofErr w:type="spellEnd"/>
      <w:r w:rsidRPr="00C74EE3">
        <w:rPr>
          <w:rFonts w:ascii="Times New Roman" w:hAnsi="Times New Roman"/>
          <w:sz w:val="24"/>
          <w:szCs w:val="24"/>
        </w:rPr>
        <w:t xml:space="preserve">    2,3     </w:t>
      </w:r>
      <w:proofErr w:type="spellStart"/>
      <w:r w:rsidRPr="00C74EE3">
        <w:rPr>
          <w:rFonts w:ascii="Times New Roman" w:hAnsi="Times New Roman"/>
          <w:sz w:val="24"/>
          <w:szCs w:val="24"/>
        </w:rPr>
        <w:t>2,3</w:t>
      </w:r>
      <w:proofErr w:type="spellEnd"/>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Powiat</w:t>
      </w:r>
      <w:r>
        <w:rPr>
          <w:rFonts w:ascii="Times New Roman" w:hAnsi="Times New Roman"/>
          <w:sz w:val="24"/>
          <w:szCs w:val="24"/>
        </w:rPr>
        <w:tab/>
        <w:t xml:space="preserve"> </w:t>
      </w:r>
      <w:r>
        <w:rPr>
          <w:rFonts w:ascii="Times New Roman" w:hAnsi="Times New Roman"/>
          <w:sz w:val="24"/>
          <w:szCs w:val="24"/>
        </w:rPr>
        <w:tab/>
        <w:t xml:space="preserve">   0</w:t>
      </w:r>
      <w:r>
        <w:rPr>
          <w:rFonts w:ascii="Times New Roman" w:hAnsi="Times New Roman"/>
          <w:sz w:val="24"/>
          <w:szCs w:val="24"/>
        </w:rPr>
        <w:tab/>
        <w:t xml:space="preserve">   1,7</w:t>
      </w:r>
      <w:r w:rsidRPr="00C74EE3">
        <w:rPr>
          <w:rFonts w:ascii="Times New Roman" w:hAnsi="Times New Roman"/>
          <w:sz w:val="24"/>
          <w:szCs w:val="24"/>
        </w:rPr>
        <w:tab/>
        <w:t xml:space="preserve">  2,0</w:t>
      </w:r>
      <w:r w:rsidRPr="00C74EE3">
        <w:rPr>
          <w:rFonts w:ascii="Times New Roman" w:hAnsi="Times New Roman"/>
          <w:sz w:val="24"/>
          <w:szCs w:val="24"/>
        </w:rPr>
        <w:tab/>
        <w:t xml:space="preserve">   2,0</w:t>
      </w:r>
      <w:r w:rsidRPr="00C74EE3">
        <w:rPr>
          <w:rFonts w:ascii="Times New Roman" w:hAnsi="Times New Roman"/>
          <w:sz w:val="24"/>
          <w:szCs w:val="24"/>
        </w:rPr>
        <w:tab/>
        <w:t xml:space="preserve">   2,0</w:t>
      </w:r>
      <w:r w:rsidRPr="00C74EE3">
        <w:rPr>
          <w:rFonts w:ascii="Times New Roman" w:hAnsi="Times New Roman"/>
          <w:sz w:val="24"/>
          <w:szCs w:val="24"/>
        </w:rPr>
        <w:tab/>
        <w:t xml:space="preserve">   2,0       </w:t>
      </w:r>
      <w:proofErr w:type="spellStart"/>
      <w:r w:rsidRPr="00C74EE3">
        <w:rPr>
          <w:rFonts w:ascii="Times New Roman" w:hAnsi="Times New Roman"/>
          <w:sz w:val="24"/>
          <w:szCs w:val="24"/>
        </w:rPr>
        <w:t>2,</w:t>
      </w:r>
      <w:proofErr w:type="gramEnd"/>
      <w:r w:rsidRPr="00C74EE3">
        <w:rPr>
          <w:rFonts w:ascii="Times New Roman" w:hAnsi="Times New Roman"/>
          <w:sz w:val="24"/>
          <w:szCs w:val="24"/>
        </w:rPr>
        <w:t>0</w:t>
      </w:r>
      <w:proofErr w:type="spellEnd"/>
      <w:r w:rsidRPr="00C74EE3">
        <w:rPr>
          <w:rFonts w:ascii="Times New Roman" w:hAnsi="Times New Roman"/>
          <w:sz w:val="24"/>
          <w:szCs w:val="24"/>
        </w:rPr>
        <w:t xml:space="preserve">       </w:t>
      </w:r>
      <w:proofErr w:type="spellStart"/>
      <w:r w:rsidRPr="00C74EE3">
        <w:rPr>
          <w:rFonts w:ascii="Times New Roman" w:hAnsi="Times New Roman"/>
          <w:sz w:val="24"/>
          <w:szCs w:val="24"/>
        </w:rPr>
        <w:t>2,0</w:t>
      </w:r>
      <w:proofErr w:type="spellEnd"/>
      <w:r w:rsidRPr="00C74EE3">
        <w:rPr>
          <w:rFonts w:ascii="Times New Roman" w:hAnsi="Times New Roman"/>
          <w:sz w:val="24"/>
          <w:szCs w:val="24"/>
        </w:rPr>
        <w:t xml:space="preserve">       </w:t>
      </w:r>
      <w:proofErr w:type="spellStart"/>
      <w:r w:rsidRPr="00C74EE3">
        <w:rPr>
          <w:rFonts w:ascii="Times New Roman" w:hAnsi="Times New Roman"/>
          <w:sz w:val="24"/>
          <w:szCs w:val="24"/>
        </w:rPr>
        <w:t>2,0</w:t>
      </w:r>
      <w:proofErr w:type="spellEnd"/>
      <w:r w:rsidRPr="00C74EE3">
        <w:rPr>
          <w:rFonts w:ascii="Times New Roman" w:hAnsi="Times New Roman"/>
          <w:sz w:val="24"/>
          <w:szCs w:val="24"/>
        </w:rPr>
        <w:t xml:space="preserve">     </w:t>
      </w:r>
      <w:proofErr w:type="spellStart"/>
      <w:r w:rsidRPr="00C74EE3">
        <w:rPr>
          <w:rFonts w:ascii="Times New Roman" w:hAnsi="Times New Roman"/>
          <w:sz w:val="24"/>
          <w:szCs w:val="24"/>
        </w:rPr>
        <w:t>2,0</w:t>
      </w:r>
      <w:proofErr w:type="spellEnd"/>
      <w:r w:rsidRPr="00C74EE3">
        <w:rPr>
          <w:rFonts w:ascii="Times New Roman" w:hAnsi="Times New Roman"/>
          <w:sz w:val="24"/>
          <w:szCs w:val="24"/>
        </w:rPr>
        <w:t xml:space="preserve">    </w:t>
      </w:r>
      <w:proofErr w:type="spellStart"/>
      <w:r w:rsidRPr="00C74EE3">
        <w:rPr>
          <w:rFonts w:ascii="Times New Roman" w:hAnsi="Times New Roman"/>
          <w:sz w:val="24"/>
          <w:szCs w:val="24"/>
        </w:rPr>
        <w:t>2,0</w:t>
      </w:r>
      <w:proofErr w:type="spellEnd"/>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W przypadku planowania </w:t>
      </w:r>
      <w:proofErr w:type="gramStart"/>
      <w:r w:rsidRPr="00C74EE3">
        <w:rPr>
          <w:rFonts w:ascii="Times New Roman" w:hAnsi="Times New Roman"/>
          <w:sz w:val="24"/>
          <w:szCs w:val="24"/>
        </w:rPr>
        <w:t>wydatków,  brano</w:t>
      </w:r>
      <w:proofErr w:type="gramEnd"/>
      <w:r w:rsidRPr="00C74EE3">
        <w:rPr>
          <w:rFonts w:ascii="Times New Roman" w:hAnsi="Times New Roman"/>
          <w:sz w:val="24"/>
          <w:szCs w:val="24"/>
        </w:rPr>
        <w:t xml:space="preserve"> pod uwagę wielkość zadłużenia i związane</w:t>
      </w:r>
      <w:r w:rsidR="00A20661">
        <w:rPr>
          <w:rFonts w:ascii="Times New Roman" w:hAnsi="Times New Roman"/>
          <w:sz w:val="24"/>
          <w:szCs w:val="24"/>
        </w:rPr>
        <w:t xml:space="preserve"> z tym  koszty obsługi długu  (</w:t>
      </w:r>
      <w:r w:rsidRPr="00C74EE3">
        <w:rPr>
          <w:rFonts w:ascii="Times New Roman" w:hAnsi="Times New Roman"/>
          <w:sz w:val="24"/>
          <w:szCs w:val="24"/>
        </w:rPr>
        <w:t xml:space="preserve">przyjęto średniorocznie oprocentowanie w wysokości 5%).  Ważnym czynnikiem kształtującym wysokość </w:t>
      </w:r>
      <w:proofErr w:type="gramStart"/>
      <w:r w:rsidRPr="00C74EE3">
        <w:rPr>
          <w:rFonts w:ascii="Times New Roman" w:hAnsi="Times New Roman"/>
          <w:sz w:val="24"/>
          <w:szCs w:val="24"/>
        </w:rPr>
        <w:t>planowanych  wydatków</w:t>
      </w:r>
      <w:proofErr w:type="gramEnd"/>
      <w:r w:rsidRPr="00C74EE3">
        <w:rPr>
          <w:rFonts w:ascii="Times New Roman" w:hAnsi="Times New Roman"/>
          <w:sz w:val="24"/>
          <w:szCs w:val="24"/>
        </w:rPr>
        <w:t xml:space="preserve"> bieżących , są planowane wydatki majątkowe a więc zaangażowanie  środków własnych powiatu.</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Wydatki bieżące obejmują koszty finansowania jednostek powiatowych,</w:t>
      </w:r>
      <w:r>
        <w:rPr>
          <w:rFonts w:ascii="Times New Roman" w:hAnsi="Times New Roman"/>
          <w:sz w:val="24"/>
          <w:szCs w:val="24"/>
        </w:rPr>
        <w:t xml:space="preserve"> spłatę przejętego zadłużenia po zlikwidowanym </w:t>
      </w:r>
      <w:proofErr w:type="gramStart"/>
      <w:r>
        <w:rPr>
          <w:rFonts w:ascii="Times New Roman" w:hAnsi="Times New Roman"/>
          <w:sz w:val="24"/>
          <w:szCs w:val="24"/>
        </w:rPr>
        <w:t xml:space="preserve">ZOZ , </w:t>
      </w:r>
      <w:proofErr w:type="gramEnd"/>
      <w:r w:rsidRPr="00C74EE3">
        <w:rPr>
          <w:rFonts w:ascii="Times New Roman" w:hAnsi="Times New Roman"/>
          <w:sz w:val="24"/>
          <w:szCs w:val="24"/>
        </w:rPr>
        <w:t>oraz finansowanie prz</w:t>
      </w:r>
      <w:r>
        <w:rPr>
          <w:rFonts w:ascii="Times New Roman" w:hAnsi="Times New Roman"/>
          <w:sz w:val="24"/>
          <w:szCs w:val="24"/>
        </w:rPr>
        <w:t xml:space="preserve">edsięwzięć.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u w:val="single"/>
        </w:rPr>
        <w:t>Wydatki majątkowe</w:t>
      </w:r>
      <w:r w:rsidRPr="00C74EE3">
        <w:rPr>
          <w:rFonts w:ascii="Times New Roman" w:hAnsi="Times New Roman"/>
          <w:sz w:val="24"/>
          <w:szCs w:val="24"/>
        </w:rPr>
        <w:t xml:space="preserve"> (kol. 2.2) ujęte w WPF zaplanowano w oparciu o wieloletni plan inwestycyjn</w:t>
      </w:r>
      <w:r w:rsidR="00A20661">
        <w:rPr>
          <w:rFonts w:ascii="Times New Roman" w:hAnsi="Times New Roman"/>
          <w:sz w:val="24"/>
          <w:szCs w:val="24"/>
        </w:rPr>
        <w:t>y powiatu na lata 2013 - 2015 (</w:t>
      </w:r>
      <w:r w:rsidRPr="00C74EE3">
        <w:rPr>
          <w:rFonts w:ascii="Times New Roman" w:hAnsi="Times New Roman"/>
          <w:sz w:val="24"/>
          <w:szCs w:val="24"/>
        </w:rPr>
        <w:t xml:space="preserve">wg załączonych tabel). </w:t>
      </w: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W stosunku do uchwalonej WPF z 23 marca 2013 roku </w:t>
      </w:r>
      <w:r>
        <w:rPr>
          <w:rFonts w:ascii="Times New Roman" w:hAnsi="Times New Roman"/>
          <w:sz w:val="24"/>
          <w:szCs w:val="24"/>
        </w:rPr>
        <w:t>wydatki</w:t>
      </w:r>
      <w:r w:rsidRPr="00C74EE3">
        <w:rPr>
          <w:rFonts w:ascii="Times New Roman" w:hAnsi="Times New Roman"/>
          <w:sz w:val="24"/>
          <w:szCs w:val="24"/>
        </w:rPr>
        <w:t xml:space="preserve"> majątkowe roku 2014 zwiększono o 300.000 </w:t>
      </w:r>
      <w:proofErr w:type="gramStart"/>
      <w:r w:rsidRPr="00C74EE3">
        <w:rPr>
          <w:rFonts w:ascii="Times New Roman" w:hAnsi="Times New Roman"/>
          <w:sz w:val="24"/>
          <w:szCs w:val="24"/>
        </w:rPr>
        <w:t>zł</w:t>
      </w:r>
      <w:proofErr w:type="gramEnd"/>
      <w:r w:rsidRPr="00C74EE3">
        <w:rPr>
          <w:rFonts w:ascii="Times New Roman" w:hAnsi="Times New Roman"/>
          <w:sz w:val="24"/>
          <w:szCs w:val="24"/>
        </w:rPr>
        <w:t xml:space="preserve"> i roku 2015 o kwotę 100.000 zł w tytułem realizacji przedsięwzięcia "Budowa sieci typu NGN, infrastruktury </w:t>
      </w:r>
      <w:proofErr w:type="gramStart"/>
      <w:r w:rsidRPr="00C74EE3">
        <w:rPr>
          <w:rFonts w:ascii="Times New Roman" w:hAnsi="Times New Roman"/>
          <w:sz w:val="24"/>
          <w:szCs w:val="24"/>
        </w:rPr>
        <w:t xml:space="preserve">hot-spot ..." </w:t>
      </w:r>
      <w:proofErr w:type="gramEnd"/>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Pr>
          <w:rFonts w:ascii="Times New Roman" w:hAnsi="Times New Roman"/>
          <w:sz w:val="24"/>
          <w:szCs w:val="24"/>
        </w:rPr>
        <w:t>W stosunku do uchwalonej WPF z 23 maja 2013 r. zmieniono wydatki majątkowe</w:t>
      </w:r>
      <w:r w:rsidR="00A20661">
        <w:rPr>
          <w:rFonts w:ascii="Times New Roman" w:hAnsi="Times New Roman"/>
          <w:sz w:val="24"/>
          <w:szCs w:val="24"/>
        </w:rPr>
        <w:t>, które </w:t>
      </w:r>
      <w:r>
        <w:rPr>
          <w:rFonts w:ascii="Times New Roman" w:hAnsi="Times New Roman"/>
          <w:sz w:val="24"/>
          <w:szCs w:val="24"/>
        </w:rPr>
        <w:t xml:space="preserve">zaprezentowano w </w:t>
      </w:r>
      <w:proofErr w:type="gramStart"/>
      <w:r>
        <w:rPr>
          <w:rFonts w:ascii="Times New Roman" w:hAnsi="Times New Roman"/>
          <w:sz w:val="24"/>
          <w:szCs w:val="24"/>
        </w:rPr>
        <w:t>tabelach:  Nr</w:t>
      </w:r>
      <w:proofErr w:type="gramEnd"/>
      <w:r>
        <w:rPr>
          <w:rFonts w:ascii="Times New Roman" w:hAnsi="Times New Roman"/>
          <w:sz w:val="24"/>
          <w:szCs w:val="24"/>
        </w:rPr>
        <w:t xml:space="preserve"> 1 na rok 2013, Nr 2 na rok 201 4 i Nr 3 na rok 2015.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Pr>
          <w:rFonts w:ascii="Times New Roman" w:hAnsi="Times New Roman"/>
          <w:sz w:val="24"/>
          <w:szCs w:val="24"/>
        </w:rPr>
        <w:t xml:space="preserve">W stosunku do uchwalonej WPR z dnia 26.09.2013 r. zmieniono wydatki majątkowe, które przedstawiono w tabeli Nr 1 na </w:t>
      </w:r>
      <w:proofErr w:type="gramStart"/>
      <w:r>
        <w:rPr>
          <w:rFonts w:ascii="Times New Roman" w:hAnsi="Times New Roman"/>
          <w:sz w:val="24"/>
          <w:szCs w:val="24"/>
        </w:rPr>
        <w:t>rok  2013, tabeli</w:t>
      </w:r>
      <w:proofErr w:type="gramEnd"/>
      <w:r>
        <w:rPr>
          <w:rFonts w:ascii="Times New Roman" w:hAnsi="Times New Roman"/>
          <w:sz w:val="24"/>
          <w:szCs w:val="24"/>
        </w:rPr>
        <w:t xml:space="preserve"> Nr 2 na rok 2014 i tabeli Nr 3 na rok 2015 .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Zaplanowane wydatki majątkowe na </w:t>
      </w:r>
      <w:proofErr w:type="gramStart"/>
      <w:r w:rsidRPr="00C74EE3">
        <w:rPr>
          <w:rFonts w:ascii="Times New Roman" w:hAnsi="Times New Roman"/>
          <w:sz w:val="24"/>
          <w:szCs w:val="24"/>
        </w:rPr>
        <w:t>lata 2016 -  2024 mają</w:t>
      </w:r>
      <w:proofErr w:type="gramEnd"/>
      <w:r w:rsidRPr="00C74EE3">
        <w:rPr>
          <w:rFonts w:ascii="Times New Roman" w:hAnsi="Times New Roman"/>
          <w:sz w:val="24"/>
          <w:szCs w:val="24"/>
        </w:rPr>
        <w:t xml:space="preserve"> charakter szacunkowy -  określają środki własne powiatu , które można  będzie przeznaczyć na finansowanie inwestycji lub zakupy  majątkowe.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b/>
          <w:bCs/>
          <w:sz w:val="24"/>
          <w:szCs w:val="24"/>
        </w:rPr>
        <w:lastRenderedPageBreak/>
        <w:t>Wynik budżetu</w:t>
      </w:r>
      <w:r w:rsidRPr="00C74EE3">
        <w:rPr>
          <w:rFonts w:ascii="Times New Roman" w:hAnsi="Times New Roman"/>
          <w:sz w:val="24"/>
          <w:szCs w:val="24"/>
        </w:rPr>
        <w:t xml:space="preserve">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 Kol. 3.- W wyniku </w:t>
      </w:r>
      <w:proofErr w:type="gramStart"/>
      <w:r w:rsidRPr="00C74EE3">
        <w:rPr>
          <w:rFonts w:ascii="Times New Roman" w:hAnsi="Times New Roman"/>
          <w:sz w:val="24"/>
          <w:szCs w:val="24"/>
        </w:rPr>
        <w:t>zaplanowanych  dochodów</w:t>
      </w:r>
      <w:proofErr w:type="gramEnd"/>
      <w:r w:rsidRPr="00C74EE3">
        <w:rPr>
          <w:rFonts w:ascii="Times New Roman" w:hAnsi="Times New Roman"/>
          <w:sz w:val="24"/>
          <w:szCs w:val="24"/>
        </w:rPr>
        <w:t xml:space="preserve"> i wydatków  w roku 2013 budżet zamknie si</w:t>
      </w:r>
      <w:r>
        <w:rPr>
          <w:rFonts w:ascii="Times New Roman" w:hAnsi="Times New Roman"/>
          <w:sz w:val="24"/>
          <w:szCs w:val="24"/>
        </w:rPr>
        <w:t>ę nadwyżką w wysokości 1.851.168</w:t>
      </w:r>
      <w:r w:rsidRPr="00C74EE3">
        <w:rPr>
          <w:rFonts w:ascii="Times New Roman" w:hAnsi="Times New Roman"/>
          <w:sz w:val="24"/>
          <w:szCs w:val="24"/>
        </w:rPr>
        <w:t xml:space="preserve"> zł, od roku 2015 budżet zamyka </w:t>
      </w:r>
      <w:proofErr w:type="gramStart"/>
      <w:r w:rsidRPr="00C74EE3">
        <w:rPr>
          <w:rFonts w:ascii="Times New Roman" w:hAnsi="Times New Roman"/>
          <w:sz w:val="24"/>
          <w:szCs w:val="24"/>
        </w:rPr>
        <w:t>się  również</w:t>
      </w:r>
      <w:proofErr w:type="gramEnd"/>
      <w:r w:rsidRPr="00C74EE3">
        <w:rPr>
          <w:rFonts w:ascii="Times New Roman" w:hAnsi="Times New Roman"/>
          <w:sz w:val="24"/>
          <w:szCs w:val="24"/>
        </w:rPr>
        <w:t xml:space="preserve"> nadwyżką,  która przeznaczana jest na spłatę zadłużenia ,oraz szacowane  wydatki majątkowe. </w:t>
      </w: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b/>
          <w:bCs/>
          <w:sz w:val="24"/>
          <w:szCs w:val="24"/>
        </w:rPr>
        <w:t>Przychody budżetu</w:t>
      </w:r>
      <w:r w:rsidRPr="00C74EE3">
        <w:rPr>
          <w:rFonts w:ascii="Times New Roman" w:hAnsi="Times New Roman"/>
          <w:sz w:val="24"/>
          <w:szCs w:val="24"/>
        </w:rPr>
        <w:t xml:space="preserve"> wykazane w kol 4. ustalono w oparciu o k</w:t>
      </w:r>
      <w:r w:rsidR="00A20661">
        <w:rPr>
          <w:rFonts w:ascii="Times New Roman" w:hAnsi="Times New Roman"/>
          <w:sz w:val="24"/>
          <w:szCs w:val="24"/>
        </w:rPr>
        <w:t xml:space="preserve">woty </w:t>
      </w:r>
      <w:proofErr w:type="gramStart"/>
      <w:r w:rsidR="00A20661">
        <w:rPr>
          <w:rFonts w:ascii="Times New Roman" w:hAnsi="Times New Roman"/>
          <w:sz w:val="24"/>
          <w:szCs w:val="24"/>
        </w:rPr>
        <w:t>wynikłe  z</w:t>
      </w:r>
      <w:proofErr w:type="gramEnd"/>
      <w:r w:rsidR="00A20661">
        <w:rPr>
          <w:rFonts w:ascii="Times New Roman" w:hAnsi="Times New Roman"/>
          <w:sz w:val="24"/>
          <w:szCs w:val="24"/>
        </w:rPr>
        <w:t xml:space="preserve"> zaciągniętego w </w:t>
      </w:r>
      <w:r w:rsidRPr="00C74EE3">
        <w:rPr>
          <w:rFonts w:ascii="Times New Roman" w:hAnsi="Times New Roman"/>
          <w:sz w:val="24"/>
          <w:szCs w:val="24"/>
        </w:rPr>
        <w:t xml:space="preserve">2013 r. kredytu w wysokości 2.000.000 </w:t>
      </w:r>
      <w:proofErr w:type="gramStart"/>
      <w:r w:rsidRPr="00C74EE3">
        <w:rPr>
          <w:rFonts w:ascii="Times New Roman" w:hAnsi="Times New Roman"/>
          <w:sz w:val="24"/>
          <w:szCs w:val="24"/>
        </w:rPr>
        <w:t>zł,  oraz</w:t>
      </w:r>
      <w:proofErr w:type="gramEnd"/>
      <w:r w:rsidRPr="00C74EE3">
        <w:rPr>
          <w:rFonts w:ascii="Times New Roman" w:hAnsi="Times New Roman"/>
          <w:sz w:val="24"/>
          <w:szCs w:val="24"/>
        </w:rPr>
        <w:t xml:space="preserve"> nadwyżki budże</w:t>
      </w:r>
      <w:r w:rsidR="00A20661">
        <w:rPr>
          <w:rFonts w:ascii="Times New Roman" w:hAnsi="Times New Roman"/>
          <w:sz w:val="24"/>
          <w:szCs w:val="24"/>
        </w:rPr>
        <w:t>towej z 2012 r. (495.272 zł) i </w:t>
      </w:r>
      <w:r w:rsidRPr="00C74EE3">
        <w:rPr>
          <w:rFonts w:ascii="Times New Roman" w:hAnsi="Times New Roman"/>
          <w:sz w:val="24"/>
          <w:szCs w:val="24"/>
        </w:rPr>
        <w:t xml:space="preserve">wolnych środków (1.173.741 zł) a w latach następnych tj. </w:t>
      </w:r>
      <w:proofErr w:type="gramStart"/>
      <w:r w:rsidRPr="00C74EE3">
        <w:rPr>
          <w:rFonts w:ascii="Times New Roman" w:hAnsi="Times New Roman"/>
          <w:sz w:val="24"/>
          <w:szCs w:val="24"/>
        </w:rPr>
        <w:t>od 2015  przychodami</w:t>
      </w:r>
      <w:proofErr w:type="gramEnd"/>
      <w:r w:rsidRPr="00C74EE3">
        <w:rPr>
          <w:rFonts w:ascii="Times New Roman" w:hAnsi="Times New Roman"/>
          <w:sz w:val="24"/>
          <w:szCs w:val="24"/>
        </w:rPr>
        <w:t xml:space="preserve"> są wolne środki budżetowe przeznaczane na spłatę zadłużenia.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b/>
          <w:bCs/>
          <w:sz w:val="24"/>
          <w:szCs w:val="24"/>
        </w:rPr>
        <w:t>Rozchody budżetu</w:t>
      </w:r>
      <w:r w:rsidRPr="00C74EE3">
        <w:rPr>
          <w:rFonts w:ascii="Times New Roman" w:hAnsi="Times New Roman"/>
          <w:sz w:val="24"/>
          <w:szCs w:val="24"/>
        </w:rPr>
        <w:t xml:space="preserve"> wykazane w kol. 5. ustalono w oparciu o wysokość rat spłaty zaciągniętych kredytów przed rokiem 2013 i w 2013 roku 2.000.000 zł (spłata na 10 rat w </w:t>
      </w:r>
      <w:proofErr w:type="gramStart"/>
      <w:r w:rsidRPr="00C74EE3">
        <w:rPr>
          <w:rFonts w:ascii="Times New Roman" w:hAnsi="Times New Roman"/>
          <w:sz w:val="24"/>
          <w:szCs w:val="24"/>
        </w:rPr>
        <w:t>latach 2015 – 2024)  w</w:t>
      </w:r>
      <w:proofErr w:type="gramEnd"/>
      <w:r w:rsidRPr="00C74EE3">
        <w:rPr>
          <w:rFonts w:ascii="Times New Roman" w:hAnsi="Times New Roman"/>
          <w:sz w:val="24"/>
          <w:szCs w:val="24"/>
        </w:rPr>
        <w:t xml:space="preserve"> kwotach określonych umową.    </w:t>
      </w: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b/>
          <w:bCs/>
          <w:sz w:val="24"/>
          <w:szCs w:val="24"/>
        </w:rPr>
        <w:t>Kwota zadłużenia</w:t>
      </w:r>
      <w:r w:rsidRPr="00C74EE3">
        <w:rPr>
          <w:rFonts w:ascii="Times New Roman" w:hAnsi="Times New Roman"/>
          <w:sz w:val="24"/>
          <w:szCs w:val="24"/>
        </w:rPr>
        <w:t xml:space="preserve"> powiatu wykazana w kol. 6. wynika</w:t>
      </w:r>
      <w:r>
        <w:rPr>
          <w:rFonts w:ascii="Times New Roman" w:hAnsi="Times New Roman"/>
          <w:sz w:val="24"/>
          <w:szCs w:val="24"/>
        </w:rPr>
        <w:t xml:space="preserve"> z wielkości kwot zaciąganych i </w:t>
      </w:r>
      <w:r w:rsidRPr="00C74EE3">
        <w:rPr>
          <w:rFonts w:ascii="Times New Roman" w:hAnsi="Times New Roman"/>
          <w:sz w:val="24"/>
          <w:szCs w:val="24"/>
        </w:rPr>
        <w:t>spłacanych kredytów. Od 2014 roku nie planuje się zaciągać nowych kredytów, więc zadłużenie będzie malało proporcjonalnie do dokonywanych spłat.</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W kol. 9.1. wykazano </w:t>
      </w:r>
      <w:proofErr w:type="gramStart"/>
      <w:r w:rsidRPr="00C74EE3">
        <w:rPr>
          <w:rFonts w:ascii="Times New Roman" w:hAnsi="Times New Roman"/>
          <w:sz w:val="24"/>
          <w:szCs w:val="24"/>
        </w:rPr>
        <w:t xml:space="preserve">wskaźnik </w:t>
      </w:r>
      <w:r>
        <w:rPr>
          <w:rFonts w:ascii="Times New Roman" w:hAnsi="Times New Roman"/>
          <w:sz w:val="24"/>
          <w:szCs w:val="24"/>
        </w:rPr>
        <w:t xml:space="preserve"> spłaty</w:t>
      </w:r>
      <w:proofErr w:type="gramEnd"/>
      <w:r>
        <w:rPr>
          <w:rFonts w:ascii="Times New Roman" w:hAnsi="Times New Roman"/>
          <w:sz w:val="24"/>
          <w:szCs w:val="24"/>
        </w:rPr>
        <w:t xml:space="preserve"> </w:t>
      </w:r>
      <w:r w:rsidRPr="00C74EE3">
        <w:rPr>
          <w:rFonts w:ascii="Times New Roman" w:hAnsi="Times New Roman"/>
          <w:sz w:val="24"/>
          <w:szCs w:val="24"/>
        </w:rPr>
        <w:t>zadłużenia powiatu w poszc</w:t>
      </w:r>
      <w:r>
        <w:rPr>
          <w:rFonts w:ascii="Times New Roman" w:hAnsi="Times New Roman"/>
          <w:sz w:val="24"/>
          <w:szCs w:val="24"/>
        </w:rPr>
        <w:t xml:space="preserve">zególnych latach, który  nie może przekroczyć 15 % dochodów </w:t>
      </w:r>
      <w:r w:rsidRPr="00C74EE3">
        <w:rPr>
          <w:rFonts w:ascii="Times New Roman" w:hAnsi="Times New Roman"/>
          <w:sz w:val="24"/>
          <w:szCs w:val="24"/>
        </w:rPr>
        <w:t xml:space="preserve"> ( stara zasada) </w:t>
      </w:r>
      <w:r>
        <w:rPr>
          <w:rFonts w:ascii="Times New Roman" w:hAnsi="Times New Roman"/>
          <w:sz w:val="24"/>
          <w:szCs w:val="24"/>
        </w:rPr>
        <w:t>, a w kol.9.2 wskaźnik spłaty zadłużenia po uwzględnieniu wyłączeń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Od roku 2014 nie będą obowiązywały </w:t>
      </w:r>
      <w:proofErr w:type="gramStart"/>
      <w:r w:rsidRPr="00C74EE3">
        <w:rPr>
          <w:rFonts w:ascii="Times New Roman" w:hAnsi="Times New Roman"/>
          <w:sz w:val="24"/>
          <w:szCs w:val="24"/>
        </w:rPr>
        <w:t>limity  zadłużenia</w:t>
      </w:r>
      <w:proofErr w:type="gramEnd"/>
      <w:r w:rsidRPr="00C74EE3">
        <w:rPr>
          <w:rFonts w:ascii="Times New Roman" w:hAnsi="Times New Roman"/>
          <w:sz w:val="24"/>
          <w:szCs w:val="24"/>
        </w:rPr>
        <w:t xml:space="preserve">, lecz wskaźnik określający wysokość </w:t>
      </w:r>
      <w:r>
        <w:rPr>
          <w:rFonts w:ascii="Times New Roman" w:hAnsi="Times New Roman"/>
          <w:sz w:val="24"/>
          <w:szCs w:val="24"/>
        </w:rPr>
        <w:t>dopuszczalnych spłat zobowiązań  obliczony w oparciu o plan 3 kwartałów</w:t>
      </w:r>
      <w:r w:rsidR="00A20661">
        <w:rPr>
          <w:rFonts w:ascii="Times New Roman" w:hAnsi="Times New Roman"/>
          <w:sz w:val="24"/>
          <w:szCs w:val="24"/>
        </w:rPr>
        <w:t xml:space="preserve"> </w:t>
      </w:r>
      <w:r>
        <w:rPr>
          <w:rFonts w:ascii="Times New Roman" w:hAnsi="Times New Roman"/>
          <w:sz w:val="24"/>
          <w:szCs w:val="24"/>
        </w:rPr>
        <w:t>roku poprzedzającego rok budżetowy  wykazany w kol. 9.7. a  kolumnie 9.7.1</w:t>
      </w:r>
      <w:r w:rsidRPr="00C74EE3">
        <w:rPr>
          <w:rFonts w:ascii="Times New Roman" w:hAnsi="Times New Roman"/>
          <w:sz w:val="24"/>
          <w:szCs w:val="24"/>
        </w:rPr>
        <w:t xml:space="preserve">. </w:t>
      </w:r>
      <w:proofErr w:type="gramStart"/>
      <w:r>
        <w:rPr>
          <w:rFonts w:ascii="Times New Roman" w:hAnsi="Times New Roman"/>
          <w:sz w:val="24"/>
          <w:szCs w:val="24"/>
        </w:rPr>
        <w:t>obliczony</w:t>
      </w:r>
      <w:proofErr w:type="gramEnd"/>
      <w:r>
        <w:rPr>
          <w:rFonts w:ascii="Times New Roman" w:hAnsi="Times New Roman"/>
          <w:sz w:val="24"/>
          <w:szCs w:val="24"/>
        </w:rPr>
        <w:t xml:space="preserve"> w oparc</w:t>
      </w:r>
      <w:r w:rsidR="00A20661">
        <w:rPr>
          <w:rFonts w:ascii="Times New Roman" w:hAnsi="Times New Roman"/>
          <w:sz w:val="24"/>
          <w:szCs w:val="24"/>
        </w:rPr>
        <w:t>iu o </w:t>
      </w:r>
      <w:r>
        <w:rPr>
          <w:rFonts w:ascii="Times New Roman" w:hAnsi="Times New Roman"/>
          <w:sz w:val="24"/>
          <w:szCs w:val="24"/>
        </w:rPr>
        <w:t xml:space="preserve">wykonanie roku poprzedzającego rok budżetowy.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Z przedstawionych wskaźników wynika, iż Powiat będzie w stanie pokryć swoje zobowiązania z tytułu zaciąganych kredytów. </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Zobowiązanie powiatu, na koniec 2013 roku będzie wynosiło 10.890.000 zł, może być spłacane w </w:t>
      </w:r>
      <w:proofErr w:type="gramStart"/>
      <w:r w:rsidRPr="00C74EE3">
        <w:rPr>
          <w:rFonts w:ascii="Times New Roman" w:hAnsi="Times New Roman"/>
          <w:sz w:val="24"/>
          <w:szCs w:val="24"/>
        </w:rPr>
        <w:t>wielkościach  zaplanowanych</w:t>
      </w:r>
      <w:proofErr w:type="gramEnd"/>
      <w:r w:rsidRPr="00C74EE3">
        <w:rPr>
          <w:rFonts w:ascii="Times New Roman" w:hAnsi="Times New Roman"/>
          <w:sz w:val="24"/>
          <w:szCs w:val="24"/>
        </w:rPr>
        <w:t xml:space="preserve"> ( kol. 5.) gdyż mieści się w dopuszczalnym  wskaźniku spłaty  po zastosowaniu wyłączeń – kol. 9.7.1.</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Skarbnik Powiatu</w:t>
      </w:r>
    </w:p>
    <w:p w:rsidR="001352ED" w:rsidRPr="00C74EE3" w:rsidRDefault="001352ED" w:rsidP="00C74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sz w:val="24"/>
          <w:szCs w:val="24"/>
        </w:rPr>
      </w:pPr>
      <w:r w:rsidRPr="00C74EE3">
        <w:rPr>
          <w:rFonts w:ascii="Times New Roman" w:hAnsi="Times New Roman"/>
          <w:sz w:val="24"/>
          <w:szCs w:val="24"/>
        </w:rPr>
        <w:t xml:space="preserve">Lucyna Miętek </w:t>
      </w:r>
    </w:p>
    <w:p w:rsidR="001352ED" w:rsidRPr="00C74EE3" w:rsidRDefault="001352ED" w:rsidP="00C74EE3">
      <w:pPr>
        <w:autoSpaceDE w:val="0"/>
        <w:autoSpaceDN w:val="0"/>
        <w:adjustRightInd w:val="0"/>
        <w:spacing w:after="0"/>
        <w:jc w:val="left"/>
        <w:rPr>
          <w:rFonts w:ascii="Times New Roman" w:hAnsi="Times New Roman"/>
          <w:sz w:val="24"/>
          <w:szCs w:val="24"/>
        </w:rPr>
      </w:pPr>
    </w:p>
    <w:p w:rsidR="001352ED" w:rsidRDefault="001352ED"/>
    <w:sectPr w:rsidR="001352ED" w:rsidSect="00855AB6">
      <w:pgSz w:w="12240" w:h="15840"/>
      <w:pgMar w:top="1440" w:right="1440" w:bottom="1417" w:left="144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ind w:left="780" w:hanging="420"/>
      </w:pPr>
      <w:rPr>
        <w:rFonts w:ascii="Times New Roman" w:hAnsi="Times New Roman" w:cs="Times New Roman"/>
        <w:b w:val="0"/>
        <w:bCs w:val="0"/>
        <w:i w:val="0"/>
        <w:iCs w:val="0"/>
        <w:strike w:val="0"/>
        <w:color w:val="auto"/>
        <w:sz w:val="24"/>
        <w:szCs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4EE3"/>
    <w:rsid w:val="00037BC6"/>
    <w:rsid w:val="0005213A"/>
    <w:rsid w:val="000609A8"/>
    <w:rsid w:val="00067886"/>
    <w:rsid w:val="000C7E7C"/>
    <w:rsid w:val="000D30C4"/>
    <w:rsid w:val="00103D48"/>
    <w:rsid w:val="001352ED"/>
    <w:rsid w:val="0018239B"/>
    <w:rsid w:val="001A4EEB"/>
    <w:rsid w:val="001E4CD0"/>
    <w:rsid w:val="00280E79"/>
    <w:rsid w:val="002A41BA"/>
    <w:rsid w:val="002D5C90"/>
    <w:rsid w:val="00300C4D"/>
    <w:rsid w:val="003055AF"/>
    <w:rsid w:val="003528BC"/>
    <w:rsid w:val="0035487E"/>
    <w:rsid w:val="003A5279"/>
    <w:rsid w:val="003C5205"/>
    <w:rsid w:val="003E3E93"/>
    <w:rsid w:val="003F2553"/>
    <w:rsid w:val="004130AA"/>
    <w:rsid w:val="00414371"/>
    <w:rsid w:val="00423D44"/>
    <w:rsid w:val="00507D8E"/>
    <w:rsid w:val="00510DB0"/>
    <w:rsid w:val="00580658"/>
    <w:rsid w:val="0058312D"/>
    <w:rsid w:val="005831EE"/>
    <w:rsid w:val="005B6DDD"/>
    <w:rsid w:val="005C7C6C"/>
    <w:rsid w:val="0060243B"/>
    <w:rsid w:val="00603FA2"/>
    <w:rsid w:val="00680772"/>
    <w:rsid w:val="006A6099"/>
    <w:rsid w:val="007073F0"/>
    <w:rsid w:val="007370DD"/>
    <w:rsid w:val="007504A7"/>
    <w:rsid w:val="007625FE"/>
    <w:rsid w:val="007648D0"/>
    <w:rsid w:val="007E6824"/>
    <w:rsid w:val="00821373"/>
    <w:rsid w:val="00855AB6"/>
    <w:rsid w:val="00862C8A"/>
    <w:rsid w:val="0087258B"/>
    <w:rsid w:val="008B21B7"/>
    <w:rsid w:val="009B6F36"/>
    <w:rsid w:val="00A06132"/>
    <w:rsid w:val="00A20661"/>
    <w:rsid w:val="00B17829"/>
    <w:rsid w:val="00B355D8"/>
    <w:rsid w:val="00B57BB2"/>
    <w:rsid w:val="00BD42A7"/>
    <w:rsid w:val="00C37ECD"/>
    <w:rsid w:val="00C74EE3"/>
    <w:rsid w:val="00CE5199"/>
    <w:rsid w:val="00CF084F"/>
    <w:rsid w:val="00D05798"/>
    <w:rsid w:val="00D101DC"/>
    <w:rsid w:val="00D137F7"/>
    <w:rsid w:val="00D141F1"/>
    <w:rsid w:val="00D858CF"/>
    <w:rsid w:val="00D86743"/>
    <w:rsid w:val="00DB431B"/>
    <w:rsid w:val="00DF44EB"/>
    <w:rsid w:val="00DF6E95"/>
    <w:rsid w:val="00EC5869"/>
    <w:rsid w:val="00F0382A"/>
    <w:rsid w:val="00F149B3"/>
    <w:rsid w:val="00FA6727"/>
    <w:rsid w:val="00FC6A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1B7"/>
    <w:pPr>
      <w:spacing w:after="200"/>
      <w:jc w:val="both"/>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1120</Words>
  <Characters>6724</Characters>
  <Application>Microsoft Office Word</Application>
  <DocSecurity>0</DocSecurity>
  <Lines>56</Lines>
  <Paragraphs>15</Paragraphs>
  <ScaleCrop>false</ScaleCrop>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Objaśnienia wartości przyjętych w wieloletniej prognozie finansowej </dc:title>
  <dc:subject/>
  <dc:creator>LENOVO USER</dc:creator>
  <cp:keywords/>
  <dc:description/>
  <cp:lastModifiedBy>Biuro Rady</cp:lastModifiedBy>
  <cp:revision>3</cp:revision>
  <cp:lastPrinted>2013-10-24T10:21:00Z</cp:lastPrinted>
  <dcterms:created xsi:type="dcterms:W3CDTF">2013-10-24T10:22:00Z</dcterms:created>
  <dcterms:modified xsi:type="dcterms:W3CDTF">2013-10-28T08:49:00Z</dcterms:modified>
</cp:coreProperties>
</file>