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F3F99" w14:textId="11C847F8" w:rsidR="002B07F8" w:rsidRPr="00B16C1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C18">
        <w:rPr>
          <w:rFonts w:ascii="Times New Roman" w:hAnsi="Times New Roman" w:cs="Times New Roman"/>
          <w:b/>
          <w:sz w:val="26"/>
          <w:szCs w:val="26"/>
        </w:rPr>
        <w:t xml:space="preserve">Objaśnienia przyjętych </w:t>
      </w:r>
      <w:r w:rsidR="001349C6" w:rsidRPr="00B16C18">
        <w:rPr>
          <w:rFonts w:ascii="Times New Roman" w:hAnsi="Times New Roman" w:cs="Times New Roman"/>
          <w:b/>
          <w:sz w:val="26"/>
          <w:szCs w:val="26"/>
        </w:rPr>
        <w:t xml:space="preserve">wartości 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W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ieloletniej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P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rognozie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F</w:t>
      </w:r>
      <w:r w:rsidRPr="00B16C18">
        <w:rPr>
          <w:rFonts w:ascii="Times New Roman" w:hAnsi="Times New Roman" w:cs="Times New Roman"/>
          <w:b/>
          <w:sz w:val="26"/>
          <w:szCs w:val="26"/>
        </w:rPr>
        <w:t>inansowej</w:t>
      </w:r>
    </w:p>
    <w:p w14:paraId="3EA7A759" w14:textId="28E5020B" w:rsidR="002B07F8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18">
        <w:rPr>
          <w:rFonts w:ascii="Times New Roman" w:hAnsi="Times New Roman" w:cs="Times New Roman"/>
          <w:b/>
          <w:sz w:val="26"/>
          <w:szCs w:val="26"/>
        </w:rPr>
        <w:t>Powiatu Świdwińskiego na lata  20</w:t>
      </w:r>
      <w:r w:rsidR="00B065F6" w:rsidRPr="00B16C18">
        <w:rPr>
          <w:rFonts w:ascii="Times New Roman" w:hAnsi="Times New Roman" w:cs="Times New Roman"/>
          <w:b/>
          <w:sz w:val="26"/>
          <w:szCs w:val="26"/>
        </w:rPr>
        <w:t>2</w:t>
      </w:r>
      <w:r w:rsidR="001349C6" w:rsidRPr="00B16C18">
        <w:rPr>
          <w:rFonts w:ascii="Times New Roman" w:hAnsi="Times New Roman" w:cs="Times New Roman"/>
          <w:b/>
          <w:sz w:val="26"/>
          <w:szCs w:val="26"/>
        </w:rPr>
        <w:t>2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 – 2027</w:t>
      </w:r>
    </w:p>
    <w:p w14:paraId="15570A94" w14:textId="77777777" w:rsidR="00991BFF" w:rsidRDefault="00991BFF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FD842" w14:textId="5465C7CF" w:rsidR="00CC6F08" w:rsidRDefault="00844BD2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</w:t>
      </w:r>
      <w:r w:rsidRPr="00844BD2">
        <w:rPr>
          <w:rFonts w:ascii="Times New Roman" w:hAnsi="Times New Roman" w:cs="Times New Roman"/>
          <w:sz w:val="24"/>
          <w:szCs w:val="24"/>
        </w:rPr>
        <w:t xml:space="preserve">rt. 227 ustawy z dnia 27 sierpnia 2009 roku o finansach publicznych </w:t>
      </w:r>
      <w:r w:rsidR="00CC6F08">
        <w:rPr>
          <w:rFonts w:ascii="Times New Roman" w:hAnsi="Times New Roman" w:cs="Times New Roman"/>
          <w:sz w:val="24"/>
          <w:szCs w:val="24"/>
        </w:rPr>
        <w:t>W</w:t>
      </w:r>
      <w:r w:rsidRPr="00844BD2">
        <w:rPr>
          <w:rFonts w:ascii="Times New Roman" w:hAnsi="Times New Roman" w:cs="Times New Roman"/>
          <w:sz w:val="24"/>
          <w:szCs w:val="24"/>
        </w:rPr>
        <w:t xml:space="preserve">ieloletnia </w:t>
      </w:r>
      <w:r w:rsidR="00CC6F08">
        <w:rPr>
          <w:rFonts w:ascii="Times New Roman" w:hAnsi="Times New Roman" w:cs="Times New Roman"/>
          <w:sz w:val="24"/>
          <w:szCs w:val="24"/>
        </w:rPr>
        <w:t>P</w:t>
      </w:r>
      <w:r w:rsidRPr="00844BD2">
        <w:rPr>
          <w:rFonts w:ascii="Times New Roman" w:hAnsi="Times New Roman" w:cs="Times New Roman"/>
          <w:sz w:val="24"/>
          <w:szCs w:val="24"/>
        </w:rPr>
        <w:t xml:space="preserve">rognoza </w:t>
      </w:r>
      <w:r w:rsidR="00CC6F08">
        <w:rPr>
          <w:rFonts w:ascii="Times New Roman" w:hAnsi="Times New Roman" w:cs="Times New Roman"/>
          <w:sz w:val="24"/>
          <w:szCs w:val="24"/>
        </w:rPr>
        <w:t>F</w:t>
      </w:r>
      <w:r w:rsidRPr="00844BD2">
        <w:rPr>
          <w:rFonts w:ascii="Times New Roman" w:hAnsi="Times New Roman" w:cs="Times New Roman"/>
          <w:sz w:val="24"/>
          <w:szCs w:val="24"/>
        </w:rPr>
        <w:t>inansowa obejmuje</w:t>
      </w:r>
      <w:r w:rsidR="00606389">
        <w:rPr>
          <w:rFonts w:ascii="Times New Roman" w:hAnsi="Times New Roman" w:cs="Times New Roman"/>
          <w:sz w:val="24"/>
          <w:szCs w:val="24"/>
        </w:rPr>
        <w:t xml:space="preserve"> </w:t>
      </w:r>
      <w:r w:rsidRPr="00844BD2">
        <w:rPr>
          <w:rFonts w:ascii="Times New Roman" w:hAnsi="Times New Roman" w:cs="Times New Roman"/>
          <w:sz w:val="24"/>
          <w:szCs w:val="24"/>
        </w:rPr>
        <w:t>okres roku budżetowego oraz co najmniej t</w:t>
      </w:r>
      <w:r>
        <w:rPr>
          <w:rFonts w:ascii="Times New Roman" w:hAnsi="Times New Roman" w:cs="Times New Roman"/>
          <w:sz w:val="24"/>
          <w:szCs w:val="24"/>
        </w:rPr>
        <w:t>rzech kolejnych lat bu</w:t>
      </w:r>
      <w:r w:rsidR="00606389">
        <w:rPr>
          <w:rFonts w:ascii="Times New Roman" w:hAnsi="Times New Roman" w:cs="Times New Roman"/>
          <w:sz w:val="24"/>
          <w:szCs w:val="24"/>
        </w:rPr>
        <w:t xml:space="preserve">dżetowych,                    tj. rok 2023 do 2025 oraz </w:t>
      </w:r>
      <w:r w:rsidRPr="00844BD2">
        <w:rPr>
          <w:rFonts w:ascii="Times New Roman" w:hAnsi="Times New Roman" w:cs="Times New Roman"/>
          <w:sz w:val="24"/>
          <w:szCs w:val="24"/>
        </w:rPr>
        <w:t>prognozę kwoty długu</w:t>
      </w:r>
      <w:r w:rsidR="00CC6F08">
        <w:rPr>
          <w:rFonts w:ascii="Times New Roman" w:hAnsi="Times New Roman" w:cs="Times New Roman"/>
          <w:sz w:val="24"/>
          <w:szCs w:val="24"/>
        </w:rPr>
        <w:t xml:space="preserve"> na okres, </w:t>
      </w:r>
      <w:r w:rsidRPr="00844BD2">
        <w:rPr>
          <w:rFonts w:ascii="Times New Roman" w:hAnsi="Times New Roman" w:cs="Times New Roman"/>
          <w:sz w:val="24"/>
          <w:szCs w:val="24"/>
        </w:rPr>
        <w:t xml:space="preserve">na który zaciągnięto lub planuje się zaciągnąć zobowiązanie. </w:t>
      </w:r>
    </w:p>
    <w:p w14:paraId="61B93A96" w14:textId="2EEB4D37" w:rsidR="00844BD2" w:rsidRPr="00844BD2" w:rsidRDefault="00844BD2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F08">
        <w:rPr>
          <w:rFonts w:ascii="Times New Roman" w:hAnsi="Times New Roman" w:cs="Times New Roman"/>
          <w:sz w:val="24"/>
          <w:szCs w:val="24"/>
        </w:rPr>
        <w:t>Na dzień podjęcia uchwały, spłatę zobowiązań przewiduje się do roku 2027. W związku z powyższym, Wieloletnia Prognoza Finansowa Powiatu Świdwiński</w:t>
      </w:r>
      <w:r w:rsidRPr="00CC6F08">
        <w:rPr>
          <w:rFonts w:ascii="Times New Roman" w:hAnsi="Times New Roman"/>
          <w:szCs w:val="24"/>
        </w:rPr>
        <w:t>ego</w:t>
      </w:r>
      <w:r w:rsidRPr="00CC6F08">
        <w:rPr>
          <w:rFonts w:ascii="Times New Roman" w:hAnsi="Times New Roman" w:cs="Times New Roman"/>
          <w:sz w:val="24"/>
          <w:szCs w:val="24"/>
        </w:rPr>
        <w:t xml:space="preserve"> </w:t>
      </w:r>
      <w:r w:rsidR="00606389">
        <w:rPr>
          <w:rFonts w:ascii="Times New Roman" w:hAnsi="Times New Roman" w:cs="Times New Roman"/>
          <w:sz w:val="24"/>
          <w:szCs w:val="24"/>
        </w:rPr>
        <w:t xml:space="preserve">obejmuje </w:t>
      </w:r>
      <w:r w:rsidRPr="00CC6F08">
        <w:rPr>
          <w:rFonts w:ascii="Times New Roman" w:hAnsi="Times New Roman" w:cs="Times New Roman"/>
          <w:sz w:val="24"/>
          <w:szCs w:val="24"/>
        </w:rPr>
        <w:t>na lata 2022-2027.</w:t>
      </w:r>
      <w:r w:rsidR="00606389">
        <w:rPr>
          <w:rFonts w:ascii="Times New Roman" w:hAnsi="Times New Roman" w:cs="Times New Roman"/>
          <w:sz w:val="24"/>
          <w:szCs w:val="24"/>
        </w:rPr>
        <w:t xml:space="preserve"> D</w:t>
      </w:r>
      <w:r w:rsidRPr="00844BD2">
        <w:rPr>
          <w:rFonts w:ascii="Times New Roman" w:hAnsi="Times New Roman" w:cs="Times New Roman"/>
          <w:sz w:val="24"/>
          <w:szCs w:val="24"/>
        </w:rPr>
        <w:t>la roku 2022 przyjęto wartości wynikające z budżetu</w:t>
      </w:r>
      <w:r w:rsidR="00777DA2">
        <w:rPr>
          <w:rFonts w:ascii="Times New Roman" w:hAnsi="Times New Roman" w:cs="Times New Roman"/>
          <w:sz w:val="24"/>
          <w:szCs w:val="24"/>
        </w:rPr>
        <w:t xml:space="preserve"> wraz ze zmianami</w:t>
      </w:r>
      <w:r w:rsidR="00606389">
        <w:rPr>
          <w:rFonts w:ascii="Times New Roman" w:hAnsi="Times New Roman" w:cs="Times New Roman"/>
          <w:sz w:val="24"/>
          <w:szCs w:val="24"/>
        </w:rPr>
        <w:t>, natomiast d</w:t>
      </w:r>
      <w:r w:rsidRPr="00844BD2">
        <w:rPr>
          <w:rFonts w:ascii="Times New Roman" w:hAnsi="Times New Roman" w:cs="Times New Roman"/>
          <w:sz w:val="24"/>
          <w:szCs w:val="24"/>
        </w:rPr>
        <w:t>la lat 2023-2027 prognozę wykonano poprzez indeksację o wskaźnik</w:t>
      </w:r>
      <w:r w:rsidR="00947441">
        <w:rPr>
          <w:rFonts w:ascii="Times New Roman" w:hAnsi="Times New Roman" w:cs="Times New Roman"/>
          <w:sz w:val="24"/>
          <w:szCs w:val="24"/>
        </w:rPr>
        <w:t>i</w:t>
      </w:r>
      <w:r w:rsidRPr="00844BD2">
        <w:rPr>
          <w:rFonts w:ascii="Times New Roman" w:hAnsi="Times New Roman" w:cs="Times New Roman"/>
          <w:sz w:val="24"/>
          <w:szCs w:val="24"/>
        </w:rPr>
        <w:t>.</w:t>
      </w:r>
    </w:p>
    <w:p w14:paraId="6873A675" w14:textId="30F1DC8E" w:rsidR="002B07F8" w:rsidRPr="00282910" w:rsidRDefault="00FA4CEE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t>DOCHODY:</w:t>
      </w:r>
    </w:p>
    <w:p w14:paraId="7A1C6EEE" w14:textId="06ADD646" w:rsidR="004E09CD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</w:t>
      </w:r>
      <w:r w:rsidRPr="004E09CD">
        <w:rPr>
          <w:rFonts w:ascii="Times New Roman" w:hAnsi="Times New Roman" w:cs="Times New Roman"/>
          <w:sz w:val="24"/>
          <w:szCs w:val="24"/>
          <w:u w:val="single"/>
        </w:rPr>
        <w:t>bieżące</w:t>
      </w:r>
      <w:r w:rsidR="004E09CD" w:rsidRPr="004E09CD">
        <w:rPr>
          <w:rFonts w:ascii="Times New Roman" w:hAnsi="Times New Roman" w:cs="Times New Roman"/>
          <w:sz w:val="24"/>
          <w:szCs w:val="24"/>
          <w:u w:val="single"/>
        </w:rPr>
        <w:t xml:space="preserve"> ( kol. 1.1)</w:t>
      </w:r>
    </w:p>
    <w:p w14:paraId="37C5CA6B" w14:textId="7496C92F" w:rsidR="002B07F8" w:rsidRDefault="004E09CD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Uwzględniając dotychczasowe kształtowanie się dochodów budżetu Powiatu Świdwiński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D329A">
        <w:rPr>
          <w:rFonts w:ascii="Times New Roman" w:hAnsi="Times New Roman" w:cs="Times New Roman"/>
          <w:sz w:val="24"/>
          <w:szCs w:val="24"/>
        </w:rPr>
        <w:t xml:space="preserve"> oraz przewidywania na następne lata, w poszczególnych kategoriach dochodów bieżących posłużono się metodą indeksacji wartości bazowych o odpowiednio przypisany dla każdej kategorii budżetowej wskaźnik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wzrostu  rok do roku</w:t>
      </w:r>
      <w:r w:rsidR="004B78A7">
        <w:rPr>
          <w:rFonts w:ascii="Times New Roman" w:hAnsi="Times New Roman" w:cs="Times New Roman"/>
          <w:sz w:val="24"/>
          <w:szCs w:val="24"/>
        </w:rPr>
        <w:t xml:space="preserve"> max do </w:t>
      </w:r>
      <w:r w:rsidR="00A67AAA">
        <w:rPr>
          <w:rFonts w:ascii="Times New Roman" w:hAnsi="Times New Roman" w:cs="Times New Roman"/>
          <w:sz w:val="24"/>
          <w:szCs w:val="24"/>
        </w:rPr>
        <w:t>2,5</w:t>
      </w:r>
      <w:r w:rsidR="004B78A7">
        <w:rPr>
          <w:rFonts w:ascii="Times New Roman" w:hAnsi="Times New Roman" w:cs="Times New Roman"/>
          <w:sz w:val="24"/>
          <w:szCs w:val="24"/>
        </w:rPr>
        <w:t>%.</w:t>
      </w:r>
      <w:r w:rsidR="00B7571D" w:rsidRPr="00B06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B78A7">
        <w:rPr>
          <w:rFonts w:ascii="Times New Roman" w:hAnsi="Times New Roman" w:cs="Times New Roman"/>
          <w:sz w:val="24"/>
          <w:szCs w:val="24"/>
        </w:rPr>
        <w:t>d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B78A7">
        <w:rPr>
          <w:rFonts w:ascii="Times New Roman" w:hAnsi="Times New Roman" w:cs="Times New Roman"/>
          <w:sz w:val="24"/>
          <w:szCs w:val="24"/>
        </w:rPr>
        <w:t xml:space="preserve"> do 2027 założono planowane dochody dla zrównoważenia budżetu i wypracowania nadwyżki, która w każdym roku przeznaczana jest na spłatę w</w:t>
      </w:r>
      <w:r>
        <w:rPr>
          <w:rFonts w:ascii="Times New Roman" w:hAnsi="Times New Roman" w:cs="Times New Roman"/>
          <w:sz w:val="24"/>
          <w:szCs w:val="24"/>
        </w:rPr>
        <w:t>cześniej zaciągniętych kredytów i pożyczek.</w:t>
      </w:r>
    </w:p>
    <w:p w14:paraId="449CEBEB" w14:textId="77777777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14:paraId="531373E1" w14:textId="449D503B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w latach 20</w:t>
      </w:r>
      <w:r w:rsidR="00B7571D">
        <w:rPr>
          <w:rFonts w:ascii="Times New Roman" w:hAnsi="Times New Roman" w:cs="Times New Roman"/>
          <w:sz w:val="24"/>
          <w:szCs w:val="24"/>
        </w:rPr>
        <w:t>2</w:t>
      </w:r>
      <w:r w:rsidR="00924A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ustalono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oparciu 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  wysokość  współfi</w:t>
      </w:r>
      <w:r w:rsidR="00B821FB">
        <w:rPr>
          <w:rFonts w:ascii="Times New Roman" w:hAnsi="Times New Roman" w:cs="Times New Roman"/>
          <w:sz w:val="24"/>
          <w:szCs w:val="24"/>
        </w:rPr>
        <w:t>nansowania środkami zewnętrznym</w:t>
      </w:r>
      <w:r w:rsidR="009474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np. środkami z Unii Europejskiej w ramach Regionalnego Programu Operacyjnego Wojewó</w:t>
      </w:r>
      <w:r w:rsidR="002C042A">
        <w:rPr>
          <w:rFonts w:ascii="Times New Roman" w:hAnsi="Times New Roman" w:cs="Times New Roman"/>
          <w:sz w:val="24"/>
          <w:szCs w:val="24"/>
        </w:rPr>
        <w:t xml:space="preserve">dztwa Zachodniopomorskiego oraz </w:t>
      </w:r>
      <w:r>
        <w:rPr>
          <w:rFonts w:ascii="Times New Roman" w:hAnsi="Times New Roman" w:cs="Times New Roman"/>
          <w:sz w:val="24"/>
          <w:szCs w:val="24"/>
        </w:rPr>
        <w:t xml:space="preserve">innymi dochodami zewnętrznymi. </w:t>
      </w:r>
    </w:p>
    <w:p w14:paraId="2C5172F4" w14:textId="670E071A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 xml:space="preserve">u zaplanowane są </w:t>
      </w:r>
      <w:r w:rsidR="00924A81">
        <w:rPr>
          <w:rFonts w:ascii="Times New Roman" w:hAnsi="Times New Roman" w:cs="Times New Roman"/>
          <w:sz w:val="24"/>
          <w:szCs w:val="24"/>
        </w:rPr>
        <w:t>w wartościach wynikających z zawartych umów sprzedaży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nie przyjęto wielkości dochodów </w:t>
      </w:r>
      <w:r w:rsidR="00924A81">
        <w:rPr>
          <w:rFonts w:ascii="Times New Roman" w:hAnsi="Times New Roman" w:cs="Times New Roman"/>
          <w:sz w:val="24"/>
          <w:szCs w:val="24"/>
        </w:rPr>
        <w:t>z tytułu dotacji oraz środków przeznaczonych na inwestycje</w:t>
      </w:r>
      <w:r w:rsidR="006E0361">
        <w:rPr>
          <w:rFonts w:ascii="Times New Roman" w:hAnsi="Times New Roman" w:cs="Times New Roman"/>
          <w:sz w:val="24"/>
          <w:szCs w:val="24"/>
        </w:rPr>
        <w:t xml:space="preserve">, </w:t>
      </w:r>
      <w:r w:rsidR="00780EF0">
        <w:rPr>
          <w:rFonts w:ascii="Times New Roman" w:hAnsi="Times New Roman" w:cs="Times New Roman"/>
          <w:sz w:val="24"/>
          <w:szCs w:val="24"/>
        </w:rPr>
        <w:t xml:space="preserve">gdyż inwestycje </w:t>
      </w:r>
      <w:r w:rsidR="006E0361">
        <w:rPr>
          <w:rFonts w:ascii="Times New Roman" w:hAnsi="Times New Roman" w:cs="Times New Roman"/>
          <w:sz w:val="24"/>
          <w:szCs w:val="24"/>
        </w:rPr>
        <w:t>planowan</w:t>
      </w:r>
      <w:r w:rsidR="00780EF0">
        <w:rPr>
          <w:rFonts w:ascii="Times New Roman" w:hAnsi="Times New Roman" w:cs="Times New Roman"/>
          <w:sz w:val="24"/>
          <w:szCs w:val="24"/>
        </w:rPr>
        <w:t xml:space="preserve">e </w:t>
      </w:r>
      <w:r w:rsidR="007779AC">
        <w:rPr>
          <w:rFonts w:ascii="Times New Roman" w:hAnsi="Times New Roman" w:cs="Times New Roman"/>
          <w:sz w:val="24"/>
          <w:szCs w:val="24"/>
        </w:rPr>
        <w:t xml:space="preserve">są </w:t>
      </w:r>
      <w:r w:rsidR="00780EF0">
        <w:rPr>
          <w:rFonts w:ascii="Times New Roman" w:hAnsi="Times New Roman" w:cs="Times New Roman"/>
          <w:sz w:val="24"/>
          <w:szCs w:val="24"/>
        </w:rPr>
        <w:t xml:space="preserve">do realizacji </w:t>
      </w:r>
      <w:r w:rsidR="00924A81">
        <w:rPr>
          <w:rFonts w:ascii="Times New Roman" w:hAnsi="Times New Roman" w:cs="Times New Roman"/>
          <w:sz w:val="24"/>
          <w:szCs w:val="24"/>
        </w:rPr>
        <w:t>do roku 2024</w:t>
      </w:r>
      <w:r w:rsidR="007779AC">
        <w:rPr>
          <w:rFonts w:ascii="Times New Roman" w:hAnsi="Times New Roman" w:cs="Times New Roman"/>
          <w:sz w:val="24"/>
          <w:szCs w:val="24"/>
        </w:rPr>
        <w:t>,</w:t>
      </w:r>
      <w:r w:rsidR="00924A81">
        <w:rPr>
          <w:rFonts w:ascii="Times New Roman" w:hAnsi="Times New Roman" w:cs="Times New Roman"/>
          <w:sz w:val="24"/>
          <w:szCs w:val="24"/>
        </w:rPr>
        <w:t xml:space="preserve"> </w:t>
      </w:r>
      <w:r w:rsidR="00780EF0">
        <w:rPr>
          <w:rFonts w:ascii="Times New Roman" w:hAnsi="Times New Roman" w:cs="Times New Roman"/>
          <w:sz w:val="24"/>
          <w:szCs w:val="24"/>
        </w:rPr>
        <w:t xml:space="preserve">zgodnie </w:t>
      </w:r>
      <w:r w:rsidR="00B37E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0EF0">
        <w:rPr>
          <w:rFonts w:ascii="Times New Roman" w:hAnsi="Times New Roman" w:cs="Times New Roman"/>
          <w:sz w:val="24"/>
          <w:szCs w:val="24"/>
        </w:rPr>
        <w:t>z planowanymi prz</w:t>
      </w:r>
      <w:r w:rsidR="00924A81">
        <w:rPr>
          <w:rFonts w:ascii="Times New Roman" w:hAnsi="Times New Roman" w:cs="Times New Roman"/>
          <w:sz w:val="24"/>
          <w:szCs w:val="24"/>
        </w:rPr>
        <w:t>edsięwzięciami.</w:t>
      </w:r>
    </w:p>
    <w:p w14:paraId="4BB3C9EA" w14:textId="08650B88" w:rsidR="002B07F8" w:rsidRPr="00282910" w:rsidRDefault="00B16C1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WYDATKI:</w:t>
      </w:r>
    </w:p>
    <w:p w14:paraId="2A1E2152" w14:textId="5E09B858" w:rsidR="00A7484C" w:rsidRPr="00991BFF" w:rsidRDefault="00991BFF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1BFF">
        <w:rPr>
          <w:rFonts w:ascii="Times New Roman" w:hAnsi="Times New Roman" w:cs="Times New Roman"/>
          <w:sz w:val="24"/>
          <w:szCs w:val="24"/>
          <w:u w:val="single"/>
        </w:rPr>
        <w:t xml:space="preserve">Wydatki bieżące ( kol.2.1 )  </w:t>
      </w:r>
    </w:p>
    <w:p w14:paraId="100FAA8A" w14:textId="001B1E21" w:rsidR="00A7484C" w:rsidRPr="007D329A" w:rsidRDefault="00A7484C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Wydatki bie</w:t>
      </w:r>
      <w:r w:rsidR="009C597C">
        <w:rPr>
          <w:rFonts w:ascii="Times New Roman" w:hAnsi="Times New Roman" w:cs="Times New Roman"/>
          <w:sz w:val="24"/>
          <w:szCs w:val="24"/>
        </w:rPr>
        <w:t>żące prognozowane są</w:t>
      </w:r>
      <w:r w:rsidR="00991BFF">
        <w:rPr>
          <w:rFonts w:ascii="Times New Roman" w:hAnsi="Times New Roman" w:cs="Times New Roman"/>
          <w:sz w:val="24"/>
          <w:szCs w:val="24"/>
        </w:rPr>
        <w:t xml:space="preserve"> w podziale na</w:t>
      </w:r>
      <w:r w:rsidRPr="007D329A">
        <w:rPr>
          <w:rFonts w:ascii="Times New Roman" w:hAnsi="Times New Roman" w:cs="Times New Roman"/>
          <w:sz w:val="24"/>
          <w:szCs w:val="24"/>
        </w:rPr>
        <w:t xml:space="preserve"> wynagrodze</w:t>
      </w:r>
      <w:r w:rsidR="00991BFF">
        <w:rPr>
          <w:rFonts w:ascii="Times New Roman" w:hAnsi="Times New Roman" w:cs="Times New Roman"/>
          <w:sz w:val="24"/>
          <w:szCs w:val="24"/>
        </w:rPr>
        <w:t xml:space="preserve">nia i składki od nich naliczane, </w:t>
      </w:r>
      <w:r w:rsidRPr="007D329A">
        <w:rPr>
          <w:rFonts w:ascii="Times New Roman" w:hAnsi="Times New Roman" w:cs="Times New Roman"/>
          <w:sz w:val="24"/>
          <w:szCs w:val="24"/>
        </w:rPr>
        <w:t>wy</w:t>
      </w:r>
      <w:r w:rsidR="00991BFF">
        <w:rPr>
          <w:rFonts w:ascii="Times New Roman" w:hAnsi="Times New Roman" w:cs="Times New Roman"/>
          <w:sz w:val="24"/>
          <w:szCs w:val="24"/>
        </w:rPr>
        <w:t>datki na poręczenia i gwarancje,</w:t>
      </w:r>
      <w:r w:rsidRPr="007D329A">
        <w:rPr>
          <w:rFonts w:ascii="Times New Roman" w:hAnsi="Times New Roman" w:cs="Times New Roman"/>
          <w:sz w:val="24"/>
          <w:szCs w:val="24"/>
        </w:rPr>
        <w:t xml:space="preserve"> wydatki związane z obsługą zadłu</w:t>
      </w:r>
      <w:r w:rsidR="00991BFF">
        <w:rPr>
          <w:rFonts w:ascii="Times New Roman" w:hAnsi="Times New Roman" w:cs="Times New Roman"/>
          <w:sz w:val="24"/>
          <w:szCs w:val="24"/>
        </w:rPr>
        <w:t xml:space="preserve">żenia, w tym odsetki i dyskonto, </w:t>
      </w:r>
      <w:r w:rsidRPr="007D329A">
        <w:rPr>
          <w:rFonts w:ascii="Times New Roman" w:hAnsi="Times New Roman" w:cs="Times New Roman"/>
          <w:sz w:val="24"/>
          <w:szCs w:val="24"/>
        </w:rPr>
        <w:t>pozostałe wydatki bieżące.</w:t>
      </w:r>
    </w:p>
    <w:p w14:paraId="3BE1DDDD" w14:textId="31635477" w:rsidR="00780EF0" w:rsidRPr="00991BFF" w:rsidRDefault="00A7484C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 latach 2023-2027 dokonano indeksacji wydatków w oparciu o wskaźn</w:t>
      </w:r>
      <w:r w:rsidR="00947441">
        <w:rPr>
          <w:rFonts w:ascii="Times New Roman" w:hAnsi="Times New Roman" w:cs="Times New Roman"/>
          <w:sz w:val="24"/>
          <w:szCs w:val="24"/>
        </w:rPr>
        <w:t>iki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>0,50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do 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>3,00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w stosunku do poniesionych wydatków w latach poprzednich</w:t>
      </w:r>
      <w:r w:rsidRPr="007D329A">
        <w:rPr>
          <w:rFonts w:ascii="Times New Roman" w:hAnsi="Times New Roman" w:cs="Times New Roman"/>
          <w:sz w:val="24"/>
          <w:szCs w:val="24"/>
        </w:rPr>
        <w:t>.</w:t>
      </w:r>
      <w:r w:rsidR="00991BFF">
        <w:rPr>
          <w:rFonts w:ascii="Times New Roman" w:hAnsi="Times New Roman" w:cs="Times New Roman"/>
          <w:sz w:val="24"/>
          <w:szCs w:val="24"/>
        </w:rPr>
        <w:t xml:space="preserve"> Wydatki</w:t>
      </w:r>
      <w:r w:rsidRPr="007D329A">
        <w:rPr>
          <w:rFonts w:ascii="Times New Roman" w:hAnsi="Times New Roman" w:cs="Times New Roman"/>
          <w:sz w:val="24"/>
          <w:szCs w:val="24"/>
        </w:rPr>
        <w:t xml:space="preserve"> związane z obsługą długu są ściśle uzależnione od postanowień zawartych w umowach kredytowych, </w:t>
      </w:r>
      <w:r w:rsidR="00991BFF">
        <w:rPr>
          <w:rFonts w:ascii="Times New Roman" w:hAnsi="Times New Roman" w:cs="Times New Roman"/>
          <w:sz w:val="24"/>
          <w:szCs w:val="24"/>
        </w:rPr>
        <w:t>pożyczkowych</w:t>
      </w:r>
      <w:r w:rsidR="002B07F8">
        <w:rPr>
          <w:rFonts w:ascii="Times New Roman" w:hAnsi="Times New Roman" w:cs="Times New Roman"/>
          <w:sz w:val="24"/>
          <w:szCs w:val="24"/>
        </w:rPr>
        <w:t xml:space="preserve"> (przyjęto średniorocznie oprocentowanie w wysokości 4%).  </w:t>
      </w:r>
    </w:p>
    <w:p w14:paraId="63094D69" w14:textId="685045CE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czynnikiem kształtującym wysokość planowanych  wydatków bieżących 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991BFF">
        <w:rPr>
          <w:rFonts w:ascii="Times New Roman" w:hAnsi="Times New Roman" w:cs="Times New Roman"/>
          <w:sz w:val="24"/>
          <w:szCs w:val="24"/>
        </w:rPr>
        <w:t>2</w:t>
      </w:r>
      <w:r w:rsidR="009C59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są zaplanowane wydatki majątkowe a więc i zaangażowanie środków bieżących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 w:rsidR="002A0D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14:paraId="76EBA516" w14:textId="59E8472D" w:rsidR="009B5CB6" w:rsidRDefault="009B5CB6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991B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oraz spłatą kredytów </w:t>
      </w:r>
      <w:r w:rsidR="00FD3D08">
        <w:rPr>
          <w:rFonts w:ascii="Times New Roman" w:hAnsi="Times New Roman" w:cs="Times New Roman"/>
          <w:sz w:val="24"/>
          <w:szCs w:val="24"/>
        </w:rPr>
        <w:t>i pożyczek</w:t>
      </w:r>
      <w:r>
        <w:rPr>
          <w:rFonts w:ascii="Times New Roman" w:hAnsi="Times New Roman" w:cs="Times New Roman"/>
          <w:sz w:val="24"/>
          <w:szCs w:val="24"/>
        </w:rPr>
        <w:t xml:space="preserve">, dochody bieżące </w:t>
      </w:r>
      <w:r w:rsidR="00FD3D08">
        <w:rPr>
          <w:rFonts w:ascii="Times New Roman" w:hAnsi="Times New Roman" w:cs="Times New Roman"/>
          <w:sz w:val="24"/>
          <w:szCs w:val="24"/>
        </w:rPr>
        <w:t xml:space="preserve">powiększono o </w:t>
      </w:r>
      <w:r>
        <w:rPr>
          <w:rFonts w:ascii="Times New Roman" w:hAnsi="Times New Roman" w:cs="Times New Roman"/>
          <w:sz w:val="24"/>
          <w:szCs w:val="24"/>
        </w:rPr>
        <w:t xml:space="preserve">środki niezbędne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do zabezpieczenia wkładu własnego w realizowane inwestycje i środki niezbędne na spłatę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już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zaciąg</w:t>
      </w:r>
      <w:r w:rsidR="009C597C">
        <w:rPr>
          <w:rFonts w:ascii="Times New Roman" w:hAnsi="Times New Roman" w:cs="Times New Roman"/>
          <w:sz w:val="24"/>
          <w:szCs w:val="24"/>
        </w:rPr>
        <w:t>niętych kredytów.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9C597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3007D2">
        <w:rPr>
          <w:rFonts w:ascii="Times New Roman" w:hAnsi="Times New Roman" w:cs="Times New Roman"/>
          <w:sz w:val="24"/>
          <w:szCs w:val="24"/>
        </w:rPr>
        <w:t xml:space="preserve">do zrównoważenia budżetu </w:t>
      </w:r>
      <w:r w:rsidR="00991B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007D2">
        <w:rPr>
          <w:rFonts w:ascii="Times New Roman" w:hAnsi="Times New Roman" w:cs="Times New Roman"/>
          <w:sz w:val="24"/>
          <w:szCs w:val="24"/>
        </w:rPr>
        <w:t>i wypracowania nadwyżki na spłatę wcześniej zaciągniętych zobowiązań.</w:t>
      </w:r>
    </w:p>
    <w:p w14:paraId="48B759E6" w14:textId="77777777" w:rsidR="00991BFF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Wydatki </w:t>
      </w:r>
      <w:r w:rsidRPr="00991BFF">
        <w:rPr>
          <w:rFonts w:ascii="Times New Roman" w:hAnsi="Times New Roman" w:cs="Times New Roman"/>
          <w:sz w:val="24"/>
          <w:szCs w:val="24"/>
          <w:u w:val="single"/>
        </w:rPr>
        <w:t>majątkowe ( kol.2.2 )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D914" w14:textId="5AE2D597" w:rsidR="00991BFF" w:rsidRPr="007D329A" w:rsidRDefault="00991BFF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Wydatki majątkowe obejmują przede wszystkim przedsięwzięcia inwestycyjne, które ujęto w załączniku nr 2 do Wieloletniej Prognozy Finansowej Powiatu Świdwiński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D329A">
        <w:rPr>
          <w:rFonts w:ascii="Times New Roman" w:hAnsi="Times New Roman" w:cs="Times New Roman"/>
          <w:sz w:val="24"/>
          <w:szCs w:val="24"/>
        </w:rPr>
        <w:t xml:space="preserve"> na lata 2022-2025</w:t>
      </w:r>
      <w:r>
        <w:rPr>
          <w:rFonts w:ascii="Times New Roman" w:hAnsi="Times New Roman" w:cs="Times New Roman"/>
          <w:sz w:val="24"/>
          <w:szCs w:val="24"/>
        </w:rPr>
        <w:t xml:space="preserve"> oraz w oparciu o wieloletni plan inwestycyjny powiatu na lata 2022 - 2024 (wg załączonych tabel od Nr 1 do Nr 3).</w:t>
      </w:r>
      <w:r w:rsidRPr="007D329A">
        <w:rPr>
          <w:rFonts w:ascii="Times New Roman" w:hAnsi="Times New Roman" w:cs="Times New Roman"/>
          <w:sz w:val="24"/>
          <w:szCs w:val="24"/>
        </w:rPr>
        <w:t xml:space="preserve"> W kolejnych latach wydatki majątkowe zostały zaplanowane tak, aby pokryły pozostałą po spłacie zobowiązań część tzw. wolnych środków.</w:t>
      </w:r>
    </w:p>
    <w:p w14:paraId="4A7FE28E" w14:textId="59694984" w:rsidR="002B07F8" w:rsidRPr="00282910" w:rsidRDefault="00282910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t>WYNIK BUDŻETU</w:t>
      </w:r>
      <w:r w:rsidRPr="002829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233236" w14:textId="207B8E3D" w:rsidR="002B07F8" w:rsidRDefault="00BA1931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</w:t>
      </w:r>
      <w:r w:rsidR="00CA1638">
        <w:rPr>
          <w:rFonts w:ascii="Times New Roman" w:hAnsi="Times New Roman" w:cs="Times New Roman"/>
          <w:sz w:val="24"/>
          <w:szCs w:val="24"/>
        </w:rPr>
        <w:t>2</w:t>
      </w:r>
      <w:r w:rsidR="00B16C18">
        <w:rPr>
          <w:rFonts w:ascii="Times New Roman" w:hAnsi="Times New Roman" w:cs="Times New Roman"/>
          <w:sz w:val="24"/>
          <w:szCs w:val="24"/>
        </w:rPr>
        <w:t>2</w:t>
      </w:r>
      <w:r w:rsidR="000B47B7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</w:t>
      </w:r>
      <w:r w:rsidR="000B47B7">
        <w:rPr>
          <w:rFonts w:ascii="Times New Roman" w:hAnsi="Times New Roman" w:cs="Times New Roman"/>
          <w:sz w:val="24"/>
          <w:szCs w:val="24"/>
        </w:rPr>
        <w:t>yka</w:t>
      </w:r>
      <w:r w:rsidR="002B07F8">
        <w:rPr>
          <w:rFonts w:ascii="Times New Roman" w:hAnsi="Times New Roman" w:cs="Times New Roman"/>
          <w:sz w:val="24"/>
          <w:szCs w:val="24"/>
        </w:rPr>
        <w:t xml:space="preserve"> się </w:t>
      </w:r>
      <w:r w:rsidR="000B47B7">
        <w:rPr>
          <w:rFonts w:ascii="Times New Roman" w:hAnsi="Times New Roman" w:cs="Times New Roman"/>
          <w:sz w:val="24"/>
          <w:szCs w:val="24"/>
        </w:rPr>
        <w:t xml:space="preserve">deficytem </w:t>
      </w:r>
      <w:r w:rsidR="00134D13">
        <w:rPr>
          <w:rFonts w:ascii="Times New Roman" w:hAnsi="Times New Roman" w:cs="Times New Roman"/>
          <w:sz w:val="24"/>
          <w:szCs w:val="24"/>
        </w:rPr>
        <w:t xml:space="preserve"> budżetow</w:t>
      </w:r>
      <w:r w:rsidR="000B47B7">
        <w:rPr>
          <w:rFonts w:ascii="Times New Roman" w:hAnsi="Times New Roman" w:cs="Times New Roman"/>
          <w:sz w:val="24"/>
          <w:szCs w:val="24"/>
        </w:rPr>
        <w:t>ym</w:t>
      </w:r>
      <w:r w:rsidR="00B065F6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777DA2">
        <w:rPr>
          <w:rFonts w:ascii="Times New Roman" w:hAnsi="Times New Roman" w:cs="Times New Roman"/>
          <w:sz w:val="24"/>
          <w:szCs w:val="24"/>
        </w:rPr>
        <w:t>1.9</w:t>
      </w:r>
      <w:r w:rsidR="00B16C18">
        <w:rPr>
          <w:rFonts w:ascii="Times New Roman" w:hAnsi="Times New Roman" w:cs="Times New Roman"/>
          <w:sz w:val="24"/>
          <w:szCs w:val="24"/>
        </w:rPr>
        <w:t>56.350</w:t>
      </w:r>
      <w:r w:rsidR="00B065F6">
        <w:rPr>
          <w:rFonts w:ascii="Times New Roman" w:hAnsi="Times New Roman" w:cs="Times New Roman"/>
          <w:sz w:val="24"/>
          <w:szCs w:val="24"/>
        </w:rPr>
        <w:t xml:space="preserve"> zł, </w:t>
      </w:r>
      <w:r w:rsidR="000B47B7">
        <w:rPr>
          <w:rFonts w:ascii="Times New Roman" w:hAnsi="Times New Roman" w:cs="Times New Roman"/>
          <w:sz w:val="24"/>
          <w:szCs w:val="24"/>
        </w:rPr>
        <w:t>który pokryty zostanie przychodami opisanymi poniżej</w:t>
      </w:r>
      <w:r w:rsidR="00B065F6">
        <w:rPr>
          <w:rFonts w:ascii="Times New Roman" w:hAnsi="Times New Roman" w:cs="Times New Roman"/>
          <w:sz w:val="24"/>
          <w:szCs w:val="24"/>
        </w:rPr>
        <w:t>.</w:t>
      </w:r>
      <w:r w:rsidR="00A51058">
        <w:rPr>
          <w:rFonts w:ascii="Times New Roman" w:hAnsi="Times New Roman" w:cs="Times New Roman"/>
          <w:sz w:val="24"/>
          <w:szCs w:val="24"/>
        </w:rPr>
        <w:t xml:space="preserve"> </w:t>
      </w:r>
      <w:r w:rsidR="000B47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1058">
        <w:rPr>
          <w:rFonts w:ascii="Times New Roman" w:hAnsi="Times New Roman" w:cs="Times New Roman"/>
          <w:sz w:val="24"/>
          <w:szCs w:val="24"/>
        </w:rPr>
        <w:t xml:space="preserve">W latach następnych, budżet </w:t>
      </w:r>
      <w:r w:rsidR="002B07F8">
        <w:rPr>
          <w:rFonts w:ascii="Times New Roman" w:hAnsi="Times New Roman" w:cs="Times New Roman"/>
          <w:sz w:val="24"/>
          <w:szCs w:val="24"/>
        </w:rPr>
        <w:t>zamyka się nadwyżką</w:t>
      </w:r>
      <w:r w:rsidR="000B47B7">
        <w:rPr>
          <w:rFonts w:ascii="Times New Roman" w:hAnsi="Times New Roman" w:cs="Times New Roman"/>
          <w:sz w:val="24"/>
          <w:szCs w:val="24"/>
        </w:rPr>
        <w:t xml:space="preserve"> budżetową</w:t>
      </w:r>
      <w:r w:rsidR="002B07F8">
        <w:rPr>
          <w:rFonts w:ascii="Times New Roman" w:hAnsi="Times New Roman" w:cs="Times New Roman"/>
          <w:sz w:val="24"/>
          <w:szCs w:val="24"/>
        </w:rPr>
        <w:t xml:space="preserve">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14:paraId="0C4A062E" w14:textId="3734F2A1" w:rsidR="00CA1638" w:rsidRPr="00AF7474" w:rsidRDefault="00AF7474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sz w:val="24"/>
          <w:szCs w:val="24"/>
          <w:u w:val="single"/>
        </w:rPr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4F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777D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7D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78.850</w:t>
      </w:r>
      <w:r w:rsidR="000C4FF8">
        <w:rPr>
          <w:rFonts w:ascii="Times New Roman" w:hAnsi="Times New Roman" w:cs="Times New Roman"/>
          <w:sz w:val="24"/>
          <w:szCs w:val="24"/>
        </w:rPr>
        <w:t xml:space="preserve"> zł, </w:t>
      </w:r>
      <w:r w:rsidR="00D614FA">
        <w:rPr>
          <w:rFonts w:ascii="Times New Roman" w:hAnsi="Times New Roman" w:cs="Times New Roman"/>
          <w:sz w:val="24"/>
          <w:szCs w:val="24"/>
        </w:rPr>
        <w:t xml:space="preserve">wykazane w kol. 4, dotyczą przychodów z </w:t>
      </w:r>
      <w:r w:rsidRPr="00AF7474">
        <w:rPr>
          <w:rFonts w:ascii="Times New Roman" w:hAnsi="Times New Roman" w:cs="Times New Roman"/>
          <w:sz w:val="24"/>
          <w:szCs w:val="24"/>
          <w:shd w:val="clear" w:color="auto" w:fill="FFFFFF"/>
        </w:rPr>
        <w:t>tytułu wolnych środków jako nadwyżki środków pieniężnych na rachunku bieżącym budżetu jednostki samorządu terytorialnego, wynikających z rozliczeń wyemitowanych papierów wartościowych, kredytów i pożyczek z lat ubiegłych</w:t>
      </w:r>
      <w:r w:rsidRPr="00AF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art. 21</w:t>
      </w:r>
      <w:r w:rsidR="003436E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ust. 2 pkt 6 </w:t>
      </w:r>
      <w:r w:rsidR="000C4FF8" w:rsidRPr="00AF7474">
        <w:rPr>
          <w:rFonts w:ascii="Times New Roman" w:hAnsi="Times New Roman" w:cs="Times New Roman"/>
          <w:sz w:val="24"/>
          <w:szCs w:val="24"/>
        </w:rPr>
        <w:t>(kol. 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4FF8" w:rsidRPr="00AF7474">
        <w:rPr>
          <w:rFonts w:ascii="Times New Roman" w:hAnsi="Times New Roman" w:cs="Times New Roman"/>
          <w:sz w:val="24"/>
          <w:szCs w:val="24"/>
        </w:rPr>
        <w:t>), z tego na pokry</w:t>
      </w:r>
      <w:r>
        <w:rPr>
          <w:rFonts w:ascii="Times New Roman" w:hAnsi="Times New Roman" w:cs="Times New Roman"/>
          <w:sz w:val="24"/>
          <w:szCs w:val="24"/>
        </w:rPr>
        <w:t>cie deficytu budżetowego 1.</w:t>
      </w:r>
      <w:r w:rsidR="00777D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56.350</w:t>
      </w:r>
      <w:r w:rsidR="000C4FF8" w:rsidRPr="00AF7474">
        <w:rPr>
          <w:rFonts w:ascii="Times New Roman" w:hAnsi="Times New Roman" w:cs="Times New Roman"/>
          <w:sz w:val="24"/>
          <w:szCs w:val="24"/>
        </w:rPr>
        <w:t xml:space="preserve"> zł (kol. 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4FF8" w:rsidRPr="00AF7474">
        <w:rPr>
          <w:rFonts w:ascii="Times New Roman" w:hAnsi="Times New Roman" w:cs="Times New Roman"/>
          <w:sz w:val="24"/>
          <w:szCs w:val="24"/>
        </w:rPr>
        <w:t>.1).</w:t>
      </w:r>
    </w:p>
    <w:p w14:paraId="0EDBCDE8" w14:textId="04A08441" w:rsidR="002B07F8" w:rsidRDefault="00AF7474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bCs/>
          <w:sz w:val="24"/>
          <w:szCs w:val="24"/>
          <w:u w:val="single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ustalono w oparciu o wysokość rat spłaty zaciągniętych kredytów przed rokiem 20</w:t>
      </w:r>
      <w:r w:rsidR="00B1164A">
        <w:rPr>
          <w:rFonts w:ascii="Times New Roman" w:hAnsi="Times New Roman" w:cs="Times New Roman"/>
          <w:sz w:val="24"/>
          <w:szCs w:val="24"/>
        </w:rPr>
        <w:t>2</w:t>
      </w:r>
      <w:r w:rsidR="001349C6">
        <w:rPr>
          <w:rFonts w:ascii="Times New Roman" w:hAnsi="Times New Roman" w:cs="Times New Roman"/>
          <w:sz w:val="24"/>
          <w:szCs w:val="24"/>
        </w:rPr>
        <w:t>2</w:t>
      </w:r>
      <w:r w:rsidR="00C61BED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w</w:t>
      </w:r>
      <w:r w:rsidR="00B065F6">
        <w:rPr>
          <w:rFonts w:ascii="Times New Roman" w:hAnsi="Times New Roman" w:cs="Times New Roman"/>
          <w:sz w:val="24"/>
          <w:szCs w:val="24"/>
        </w:rPr>
        <w:t>ynoszą dla roku 202</w:t>
      </w:r>
      <w:r w:rsidR="001349C6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 xml:space="preserve"> </w:t>
      </w:r>
      <w:r w:rsidR="00C61BED">
        <w:rPr>
          <w:rFonts w:ascii="Times New Roman" w:hAnsi="Times New Roman" w:cs="Times New Roman"/>
          <w:sz w:val="24"/>
          <w:szCs w:val="24"/>
        </w:rPr>
        <w:t xml:space="preserve">– </w:t>
      </w:r>
      <w:r w:rsidR="00B065F6">
        <w:rPr>
          <w:rFonts w:ascii="Times New Roman" w:hAnsi="Times New Roman" w:cs="Times New Roman"/>
          <w:sz w:val="24"/>
          <w:szCs w:val="24"/>
        </w:rPr>
        <w:t>1.222.500</w:t>
      </w:r>
      <w:r w:rsidR="00B1164A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217703CA" w14:textId="77777777" w:rsidR="00B1164A" w:rsidRDefault="00B1164A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14:paraId="6DD9334C" w14:textId="737FF94D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(2015 – 2024), </w:t>
      </w:r>
      <w:r w:rsidR="00B065F6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937.500</w:t>
      </w:r>
      <w:r w:rsidRPr="00187671">
        <w:rPr>
          <w:rFonts w:ascii="Times New Roman" w:hAnsi="Times New Roman" w:cs="Times New Roman"/>
          <w:u w:val="single"/>
        </w:rPr>
        <w:t xml:space="preserve"> zł</w:t>
      </w:r>
      <w:r w:rsidRPr="00600048">
        <w:rPr>
          <w:rFonts w:ascii="Times New Roman" w:hAnsi="Times New Roman" w:cs="Times New Roman"/>
        </w:rPr>
        <w:t>, kwoty do spłaty: 2022 r. = 312.500 zł, 2023 r. = 312.500 zł, 2024 r. = 312.500 zł;</w:t>
      </w:r>
    </w:p>
    <w:p w14:paraId="4091DF6C" w14:textId="59C63C86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(2018 – 202</w:t>
      </w:r>
      <w:r>
        <w:rPr>
          <w:rFonts w:ascii="Times New Roman" w:hAnsi="Times New Roman" w:cs="Times New Roman"/>
        </w:rPr>
        <w:t xml:space="preserve">7), </w:t>
      </w:r>
      <w:r w:rsidR="00B065F6">
        <w:rPr>
          <w:rFonts w:ascii="Times New Roman" w:hAnsi="Times New Roman" w:cs="Times New Roman"/>
          <w:u w:val="single"/>
        </w:rPr>
        <w:t>zadłużenie do spłaty = 1.</w:t>
      </w:r>
      <w:r w:rsidR="001349C6">
        <w:rPr>
          <w:rFonts w:ascii="Times New Roman" w:hAnsi="Times New Roman" w:cs="Times New Roman"/>
          <w:u w:val="single"/>
        </w:rPr>
        <w:t>260</w:t>
      </w:r>
      <w:r w:rsidRPr="00187671">
        <w:rPr>
          <w:rFonts w:ascii="Times New Roman" w:hAnsi="Times New Roman" w:cs="Times New Roman"/>
          <w:u w:val="single"/>
        </w:rPr>
        <w:t>.000 zł</w:t>
      </w:r>
      <w:r w:rsidRPr="00600048">
        <w:rPr>
          <w:rFonts w:ascii="Times New Roman" w:hAnsi="Times New Roman" w:cs="Times New Roman"/>
        </w:rPr>
        <w:t xml:space="preserve">, kwoty do spłaty: 2022 r. = 210.000 zł, 2023 r. = 210.000 zł, 2024 r. = 210.000 zł, 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2025 r. = 210.000 zł,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2026 r. = 210.000 zł, 2027 r. = 210.000 zł;</w:t>
      </w:r>
    </w:p>
    <w:p w14:paraId="373512F8" w14:textId="4F96A4C0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(2019 – 2026), </w:t>
      </w:r>
      <w:r w:rsidRPr="00187671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2</w:t>
      </w:r>
      <w:r w:rsidRPr="00187671">
        <w:rPr>
          <w:rFonts w:ascii="Times New Roman" w:hAnsi="Times New Roman" w:cs="Times New Roman"/>
          <w:u w:val="single"/>
        </w:rPr>
        <w:t>.</w:t>
      </w:r>
      <w:r w:rsidR="001349C6">
        <w:rPr>
          <w:rFonts w:ascii="Times New Roman" w:hAnsi="Times New Roman" w:cs="Times New Roman"/>
          <w:u w:val="single"/>
        </w:rPr>
        <w:t>5</w:t>
      </w:r>
      <w:r w:rsidR="00B065F6">
        <w:rPr>
          <w:rFonts w:ascii="Times New Roman" w:hAnsi="Times New Roman" w:cs="Times New Roman"/>
          <w:u w:val="single"/>
        </w:rPr>
        <w:t>0</w:t>
      </w:r>
      <w:r w:rsidRPr="00187671">
        <w:rPr>
          <w:rFonts w:ascii="Times New Roman" w:hAnsi="Times New Roman" w:cs="Times New Roman"/>
          <w:u w:val="single"/>
        </w:rPr>
        <w:t>0.000 zł</w:t>
      </w:r>
      <w:r w:rsidRPr="00600048">
        <w:rPr>
          <w:rFonts w:ascii="Times New Roman" w:hAnsi="Times New Roman" w:cs="Times New Roman"/>
        </w:rPr>
        <w:t>, kwoty do spłaty: 2022 r. = 500.000 zł, 2023 r. = 500.000 zł, 2024 r. = 500.000 zł, 2025 r. = 500.000 zł, 2026 r. = 500.000 zł;</w:t>
      </w:r>
    </w:p>
    <w:p w14:paraId="0A257AAE" w14:textId="23440BEF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NARODOWY FUNDUSZ OCHRONY ŚRODOWISKA I GOSPODARKI WODNEJ W WARSZAWIE</w:t>
      </w:r>
      <w:r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 xml:space="preserve">okres finansowania (2015 – 2024), </w:t>
      </w:r>
      <w:r w:rsidRPr="00187671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6</w:t>
      </w:r>
      <w:r w:rsidRPr="00187671">
        <w:rPr>
          <w:rFonts w:ascii="Times New Roman" w:hAnsi="Times New Roman" w:cs="Times New Roman"/>
          <w:u w:val="single"/>
        </w:rPr>
        <w:t>00.000 zł</w:t>
      </w:r>
      <w:r w:rsidRPr="00600048">
        <w:rPr>
          <w:rFonts w:ascii="Times New Roman" w:hAnsi="Times New Roman" w:cs="Times New Roman"/>
        </w:rPr>
        <w:t xml:space="preserve">, kwoty do spłaty: 2022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</w:t>
      </w:r>
      <w:r w:rsidR="003F051D"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 xml:space="preserve">2023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2024 r. = </w:t>
      </w:r>
      <w:r>
        <w:rPr>
          <w:rFonts w:ascii="Times New Roman" w:hAnsi="Times New Roman" w:cs="Times New Roman"/>
        </w:rPr>
        <w:t>200.000 zł.</w:t>
      </w:r>
    </w:p>
    <w:p w14:paraId="5AE01CBB" w14:textId="71D7095D" w:rsidR="002B07F8" w:rsidRDefault="00AF7474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bCs/>
          <w:sz w:val="24"/>
          <w:szCs w:val="24"/>
          <w:u w:val="single"/>
        </w:rPr>
        <w:t>KWOTA DŁUGU</w:t>
      </w:r>
      <w:r w:rsidRPr="00AF7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7474">
        <w:rPr>
          <w:rFonts w:ascii="Times New Roman" w:hAnsi="Times New Roman" w:cs="Times New Roman"/>
          <w:b/>
          <w:sz w:val="24"/>
          <w:szCs w:val="24"/>
          <w:u w:val="single"/>
        </w:rPr>
        <w:t>POWIATU</w:t>
      </w:r>
      <w:r w:rsidR="003436E1"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BA1931">
        <w:rPr>
          <w:rFonts w:ascii="Times New Roman" w:hAnsi="Times New Roman" w:cs="Times New Roman"/>
          <w:sz w:val="24"/>
          <w:szCs w:val="24"/>
        </w:rPr>
        <w:t>wykazana w kol. 6,</w:t>
      </w:r>
      <w:r w:rsidR="002B07F8">
        <w:rPr>
          <w:rFonts w:ascii="Times New Roman" w:hAnsi="Times New Roman" w:cs="Times New Roman"/>
          <w:sz w:val="24"/>
          <w:szCs w:val="24"/>
        </w:rPr>
        <w:t xml:space="preserve"> wynika z wielkości kwot zaciągniętych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B07F8">
        <w:rPr>
          <w:rFonts w:ascii="Times New Roman" w:hAnsi="Times New Roman" w:cs="Times New Roman"/>
          <w:sz w:val="24"/>
          <w:szCs w:val="24"/>
        </w:rPr>
        <w:t xml:space="preserve">i spłacanych kredytów. </w:t>
      </w:r>
    </w:p>
    <w:p w14:paraId="402C3528" w14:textId="18D2AA8C" w:rsidR="002B07F8" w:rsidRDefault="003F051D" w:rsidP="0060638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kolumnie 8.1</w:t>
      </w:r>
      <w:r w:rsidR="002B07F8">
        <w:rPr>
          <w:rFonts w:ascii="Times New Roman" w:hAnsi="Times New Roman" w:cs="Times New Roman"/>
          <w:sz w:val="24"/>
          <w:szCs w:val="24"/>
        </w:rPr>
        <w:t xml:space="preserve"> wykazano </w:t>
      </w:r>
      <w:r w:rsidR="001B693E">
        <w:rPr>
          <w:rFonts w:ascii="Times New Roman" w:hAnsi="Times New Roman" w:cs="Times New Roman"/>
          <w:sz w:val="24"/>
          <w:szCs w:val="24"/>
        </w:rPr>
        <w:t xml:space="preserve">indywidualny </w:t>
      </w:r>
      <w:r w:rsidR="002B07F8">
        <w:rPr>
          <w:rFonts w:ascii="Times New Roman" w:hAnsi="Times New Roman" w:cs="Times New Roman"/>
          <w:sz w:val="24"/>
          <w:szCs w:val="24"/>
        </w:rPr>
        <w:t xml:space="preserve">wskaźnik spłaty </w:t>
      </w:r>
      <w:r w:rsidR="00FA4CEE">
        <w:rPr>
          <w:rFonts w:ascii="Times New Roman" w:hAnsi="Times New Roman" w:cs="Times New Roman"/>
          <w:sz w:val="24"/>
          <w:szCs w:val="24"/>
        </w:rPr>
        <w:t xml:space="preserve">zobowiązań </w:t>
      </w:r>
      <w:r w:rsidR="002B07F8">
        <w:rPr>
          <w:rFonts w:ascii="Times New Roman" w:hAnsi="Times New Roman" w:cs="Times New Roman"/>
          <w:sz w:val="24"/>
          <w:szCs w:val="24"/>
        </w:rPr>
        <w:t>Powiat</w:t>
      </w:r>
      <w:r w:rsidR="00FA4CEE">
        <w:rPr>
          <w:rFonts w:ascii="Times New Roman" w:hAnsi="Times New Roman" w:cs="Times New Roman"/>
          <w:sz w:val="24"/>
          <w:szCs w:val="24"/>
        </w:rPr>
        <w:t>u</w:t>
      </w:r>
      <w:r w:rsidR="002B07F8">
        <w:rPr>
          <w:rFonts w:ascii="Times New Roman" w:hAnsi="Times New Roman" w:cs="Times New Roman"/>
          <w:sz w:val="24"/>
          <w:szCs w:val="24"/>
        </w:rPr>
        <w:t xml:space="preserve">. </w:t>
      </w:r>
      <w:r w:rsidR="00FA4CEE">
        <w:rPr>
          <w:rFonts w:ascii="Times New Roman" w:hAnsi="Times New Roman" w:cs="Times New Roman"/>
          <w:sz w:val="24"/>
          <w:szCs w:val="24"/>
        </w:rPr>
        <w:t xml:space="preserve">W </w:t>
      </w:r>
      <w:r w:rsidR="002B07F8">
        <w:rPr>
          <w:rFonts w:ascii="Times New Roman" w:hAnsi="Times New Roman" w:cs="Times New Roman"/>
          <w:sz w:val="24"/>
          <w:szCs w:val="24"/>
        </w:rPr>
        <w:t xml:space="preserve">kolumnie </w:t>
      </w:r>
      <w:r>
        <w:rPr>
          <w:rFonts w:ascii="Times New Roman" w:hAnsi="Times New Roman" w:cs="Times New Roman"/>
          <w:sz w:val="24"/>
          <w:szCs w:val="24"/>
        </w:rPr>
        <w:t>8.3</w:t>
      </w:r>
      <w:r w:rsidR="002B07F8">
        <w:rPr>
          <w:rFonts w:ascii="Times New Roman" w:hAnsi="Times New Roman" w:cs="Times New Roman"/>
          <w:sz w:val="24"/>
          <w:szCs w:val="24"/>
        </w:rPr>
        <w:t>.1 wykazano dopuszczalny wskaźnik spłaty zobowiązań przez Powiat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(zadłu</w:t>
      </w:r>
      <w:r>
        <w:rPr>
          <w:rFonts w:ascii="Times New Roman" w:hAnsi="Times New Roman" w:cs="Times New Roman"/>
          <w:sz w:val="24"/>
          <w:szCs w:val="24"/>
        </w:rPr>
        <w:t xml:space="preserve">żenia – średnia arytmetyczna z </w:t>
      </w:r>
      <w:r w:rsidR="002B07F8">
        <w:rPr>
          <w:rFonts w:ascii="Times New Roman" w:hAnsi="Times New Roman" w:cs="Times New Roman"/>
          <w:sz w:val="24"/>
          <w:szCs w:val="24"/>
        </w:rPr>
        <w:t>poprzednich lat).</w:t>
      </w:r>
    </w:p>
    <w:p w14:paraId="2D2E5A50" w14:textId="3556377E" w:rsidR="000C4FF8" w:rsidRDefault="00FA4CEE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</w:t>
      </w:r>
      <w:r w:rsidR="002B07F8">
        <w:rPr>
          <w:rFonts w:ascii="Times New Roman" w:hAnsi="Times New Roman" w:cs="Times New Roman"/>
          <w:sz w:val="24"/>
          <w:szCs w:val="24"/>
        </w:rPr>
        <w:t xml:space="preserve"> powiatu (wyk</w:t>
      </w:r>
      <w:r w:rsidR="00FF311F">
        <w:rPr>
          <w:rFonts w:ascii="Times New Roman" w:hAnsi="Times New Roman" w:cs="Times New Roman"/>
          <w:sz w:val="24"/>
          <w:szCs w:val="24"/>
        </w:rPr>
        <w:t xml:space="preserve">azane w kol.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F311F">
        <w:rPr>
          <w:rFonts w:ascii="Times New Roman" w:hAnsi="Times New Roman" w:cs="Times New Roman"/>
          <w:sz w:val="24"/>
          <w:szCs w:val="24"/>
        </w:rPr>
        <w:t>)  na koniec 20</w:t>
      </w:r>
      <w:r w:rsidR="003F051D">
        <w:rPr>
          <w:rFonts w:ascii="Times New Roman" w:hAnsi="Times New Roman" w:cs="Times New Roman"/>
          <w:sz w:val="24"/>
          <w:szCs w:val="24"/>
        </w:rPr>
        <w:t>2</w:t>
      </w:r>
      <w:r w:rsidR="00AF7474">
        <w:rPr>
          <w:rFonts w:ascii="Times New Roman" w:hAnsi="Times New Roman" w:cs="Times New Roman"/>
          <w:sz w:val="24"/>
          <w:szCs w:val="24"/>
        </w:rPr>
        <w:t>2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wynosił</w:t>
      </w:r>
      <w:r w:rsidR="00176432">
        <w:rPr>
          <w:rFonts w:ascii="Times New Roman" w:hAnsi="Times New Roman" w:cs="Times New Roman"/>
          <w:sz w:val="24"/>
          <w:szCs w:val="24"/>
        </w:rPr>
        <w:t>a</w:t>
      </w:r>
      <w:r w:rsidR="00FF311F">
        <w:rPr>
          <w:rFonts w:ascii="Times New Roman" w:hAnsi="Times New Roman" w:cs="Times New Roman"/>
          <w:sz w:val="24"/>
          <w:szCs w:val="24"/>
        </w:rPr>
        <w:t xml:space="preserve"> </w:t>
      </w:r>
      <w:r w:rsidR="00AF7474">
        <w:rPr>
          <w:rFonts w:ascii="Times New Roman" w:hAnsi="Times New Roman" w:cs="Times New Roman"/>
          <w:sz w:val="24"/>
          <w:szCs w:val="24"/>
        </w:rPr>
        <w:t>4.075.0</w:t>
      </w:r>
      <w:r w:rsidR="00C80595">
        <w:rPr>
          <w:rFonts w:ascii="Times New Roman" w:hAnsi="Times New Roman" w:cs="Times New Roman"/>
          <w:sz w:val="24"/>
          <w:szCs w:val="24"/>
        </w:rPr>
        <w:t>00</w:t>
      </w:r>
      <w:r w:rsidR="005E7BB7">
        <w:rPr>
          <w:rFonts w:ascii="Times New Roman" w:hAnsi="Times New Roman" w:cs="Times New Roman"/>
          <w:sz w:val="24"/>
          <w:szCs w:val="24"/>
        </w:rPr>
        <w:t xml:space="preserve"> </w:t>
      </w:r>
      <w:r w:rsidR="003614B8">
        <w:rPr>
          <w:rFonts w:ascii="Times New Roman" w:hAnsi="Times New Roman" w:cs="Times New Roman"/>
          <w:sz w:val="24"/>
          <w:szCs w:val="24"/>
        </w:rPr>
        <w:t xml:space="preserve">zł </w:t>
      </w:r>
      <w:r w:rsidR="00BA1931">
        <w:rPr>
          <w:rFonts w:ascii="Times New Roman" w:hAnsi="Times New Roman" w:cs="Times New Roman"/>
          <w:sz w:val="24"/>
          <w:szCs w:val="24"/>
        </w:rPr>
        <w:t xml:space="preserve">i </w:t>
      </w:r>
      <w:r w:rsidR="002B07F8">
        <w:rPr>
          <w:rFonts w:ascii="Times New Roman" w:hAnsi="Times New Roman" w:cs="Times New Roman"/>
          <w:sz w:val="24"/>
          <w:szCs w:val="24"/>
        </w:rPr>
        <w:t>może być spłacan</w:t>
      </w:r>
      <w:r w:rsidR="00176432">
        <w:rPr>
          <w:rFonts w:ascii="Times New Roman" w:hAnsi="Times New Roman" w:cs="Times New Roman"/>
          <w:sz w:val="24"/>
          <w:szCs w:val="24"/>
        </w:rPr>
        <w:t>a</w:t>
      </w:r>
      <w:r w:rsidR="002B07F8">
        <w:rPr>
          <w:rFonts w:ascii="Times New Roman" w:hAnsi="Times New Roman" w:cs="Times New Roman"/>
          <w:sz w:val="24"/>
          <w:szCs w:val="24"/>
        </w:rPr>
        <w:t xml:space="preserve">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 w  dopuszczal</w:t>
      </w:r>
      <w:r w:rsidR="003F051D">
        <w:rPr>
          <w:rFonts w:ascii="Times New Roman" w:hAnsi="Times New Roman" w:cs="Times New Roman"/>
          <w:sz w:val="24"/>
          <w:szCs w:val="24"/>
        </w:rPr>
        <w:t>nym wskaźniku spłaty zobowiązań zgodnie z wyliczeniami według art. 243 ustawy o finansach publicznych.</w:t>
      </w:r>
    </w:p>
    <w:p w14:paraId="50DC09BB" w14:textId="5FAF2371" w:rsidR="00CD0815" w:rsidRDefault="00CD0815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89">
        <w:rPr>
          <w:rFonts w:ascii="Times New Roman" w:hAnsi="Times New Roman" w:cs="Times New Roman"/>
          <w:sz w:val="24"/>
          <w:szCs w:val="24"/>
        </w:rPr>
        <w:t xml:space="preserve">Na podstawie art. 9 ust. 1 ustawy z dnia 14 grudnia 2018 r. o zmianie ustawy o finansach publicznych oraz niektórych innych ustaw (Dz. U. z 2018r. poz. 2500 ze zm. Dz. U. z 2021r. poz. 1927) </w:t>
      </w:r>
      <w:r w:rsidRPr="00606389">
        <w:rPr>
          <w:rFonts w:ascii="Times New Roman" w:hAnsi="Times New Roman" w:cs="Times New Roman"/>
          <w:b/>
          <w:sz w:val="24"/>
          <w:szCs w:val="24"/>
        </w:rPr>
        <w:t>do ustalenia relacji określonej w art. 243 ust. 1 ustawy o finansach publicznych na lata 2022 – 2025 przyjmuje się okres siedmiu lat do wyliczenia średniej arytmetycznej</w:t>
      </w:r>
      <w:r w:rsidRPr="00606389">
        <w:rPr>
          <w:rFonts w:ascii="Times New Roman" w:hAnsi="Times New Roman" w:cs="Times New Roman"/>
          <w:sz w:val="24"/>
          <w:szCs w:val="24"/>
        </w:rPr>
        <w:t xml:space="preserve"> relacji dochodów bieżących powiększonych o dochody ze sprzedaży majątku oraz pomniejszonych o wydatki bieżące do dochodów bieżących budżetu. </w:t>
      </w:r>
      <w:bookmarkStart w:id="0" w:name="_GoBack"/>
      <w:bookmarkEnd w:id="0"/>
    </w:p>
    <w:sectPr w:rsidR="00CD0815" w:rsidSect="009C597C">
      <w:footerReference w:type="default" r:id="rId8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410E1" w14:textId="77777777" w:rsidR="00095625" w:rsidRDefault="00095625" w:rsidP="00FA4CEE">
      <w:pPr>
        <w:spacing w:after="0" w:line="240" w:lineRule="auto"/>
      </w:pPr>
      <w:r>
        <w:separator/>
      </w:r>
    </w:p>
  </w:endnote>
  <w:endnote w:type="continuationSeparator" w:id="0">
    <w:p w14:paraId="3C69FE61" w14:textId="77777777" w:rsidR="00095625" w:rsidRDefault="00095625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141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63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444FF" w14:textId="77777777" w:rsidR="00095625" w:rsidRDefault="00095625" w:rsidP="00FA4CEE">
      <w:pPr>
        <w:spacing w:after="0" w:line="240" w:lineRule="auto"/>
      </w:pPr>
      <w:r>
        <w:separator/>
      </w:r>
    </w:p>
  </w:footnote>
  <w:footnote w:type="continuationSeparator" w:id="0">
    <w:p w14:paraId="23FB81B9" w14:textId="77777777" w:rsidR="00095625" w:rsidRDefault="00095625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8"/>
    <w:rsid w:val="00074013"/>
    <w:rsid w:val="00095625"/>
    <w:rsid w:val="000B47B7"/>
    <w:rsid w:val="000C4F9B"/>
    <w:rsid w:val="000C4FF8"/>
    <w:rsid w:val="001349C6"/>
    <w:rsid w:val="00134D13"/>
    <w:rsid w:val="00176432"/>
    <w:rsid w:val="00187671"/>
    <w:rsid w:val="001B693E"/>
    <w:rsid w:val="001D5FEE"/>
    <w:rsid w:val="002079AB"/>
    <w:rsid w:val="0026038A"/>
    <w:rsid w:val="00282910"/>
    <w:rsid w:val="002A0DDD"/>
    <w:rsid w:val="002A7D38"/>
    <w:rsid w:val="002B07F8"/>
    <w:rsid w:val="002C042A"/>
    <w:rsid w:val="002C0E3F"/>
    <w:rsid w:val="002E427B"/>
    <w:rsid w:val="003007D2"/>
    <w:rsid w:val="00342C4E"/>
    <w:rsid w:val="003436E1"/>
    <w:rsid w:val="003614B8"/>
    <w:rsid w:val="00370246"/>
    <w:rsid w:val="003B4AE4"/>
    <w:rsid w:val="003F051D"/>
    <w:rsid w:val="00411908"/>
    <w:rsid w:val="00486F3F"/>
    <w:rsid w:val="004B78A7"/>
    <w:rsid w:val="004E09CD"/>
    <w:rsid w:val="00541828"/>
    <w:rsid w:val="00541C61"/>
    <w:rsid w:val="00556082"/>
    <w:rsid w:val="00560344"/>
    <w:rsid w:val="005605F9"/>
    <w:rsid w:val="005E7BB7"/>
    <w:rsid w:val="00600C8A"/>
    <w:rsid w:val="00606389"/>
    <w:rsid w:val="00653AA2"/>
    <w:rsid w:val="006C533F"/>
    <w:rsid w:val="006E0361"/>
    <w:rsid w:val="007227D9"/>
    <w:rsid w:val="00764406"/>
    <w:rsid w:val="007779AC"/>
    <w:rsid w:val="00777DA2"/>
    <w:rsid w:val="00780EF0"/>
    <w:rsid w:val="0084251F"/>
    <w:rsid w:val="00844BD2"/>
    <w:rsid w:val="00900CC5"/>
    <w:rsid w:val="00911B7D"/>
    <w:rsid w:val="00924A81"/>
    <w:rsid w:val="009320F4"/>
    <w:rsid w:val="00947441"/>
    <w:rsid w:val="00991BFF"/>
    <w:rsid w:val="009B5CB6"/>
    <w:rsid w:val="009C597C"/>
    <w:rsid w:val="009F78DC"/>
    <w:rsid w:val="00A51058"/>
    <w:rsid w:val="00A67AAA"/>
    <w:rsid w:val="00A7484C"/>
    <w:rsid w:val="00AF7474"/>
    <w:rsid w:val="00B065F6"/>
    <w:rsid w:val="00B1164A"/>
    <w:rsid w:val="00B16C18"/>
    <w:rsid w:val="00B274D9"/>
    <w:rsid w:val="00B37E95"/>
    <w:rsid w:val="00B7571D"/>
    <w:rsid w:val="00B821FB"/>
    <w:rsid w:val="00BA1931"/>
    <w:rsid w:val="00C31E9A"/>
    <w:rsid w:val="00C41230"/>
    <w:rsid w:val="00C61BED"/>
    <w:rsid w:val="00C80595"/>
    <w:rsid w:val="00CA1638"/>
    <w:rsid w:val="00CA4E07"/>
    <w:rsid w:val="00CC6F08"/>
    <w:rsid w:val="00CD0815"/>
    <w:rsid w:val="00D34C75"/>
    <w:rsid w:val="00D45ED7"/>
    <w:rsid w:val="00D51E2A"/>
    <w:rsid w:val="00D614FA"/>
    <w:rsid w:val="00D84A25"/>
    <w:rsid w:val="00E22FEE"/>
    <w:rsid w:val="00E3358B"/>
    <w:rsid w:val="00E75153"/>
    <w:rsid w:val="00ED5A1B"/>
    <w:rsid w:val="00F011AA"/>
    <w:rsid w:val="00F01BEA"/>
    <w:rsid w:val="00F62E19"/>
    <w:rsid w:val="00FA4CEE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  <w:style w:type="table" w:customStyle="1" w:styleId="Standardowy1">
    <w:name w:val="Standardowy1"/>
    <w:rsid w:val="00844B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B3EA-DF94-43A1-BC13-79577996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20</cp:revision>
  <cp:lastPrinted>2021-11-02T14:24:00Z</cp:lastPrinted>
  <dcterms:created xsi:type="dcterms:W3CDTF">2020-11-11T15:37:00Z</dcterms:created>
  <dcterms:modified xsi:type="dcterms:W3CDTF">2022-04-20T06:13:00Z</dcterms:modified>
</cp:coreProperties>
</file>