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D6883">
      <w:pPr>
        <w:pStyle w:val="NormalnyWeb"/>
        <w:spacing w:before="119"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INFORMACJA</w:t>
      </w:r>
    </w:p>
    <w:p w:rsidR="00000000" w:rsidRDefault="00AD6883">
      <w:pPr>
        <w:pStyle w:val="NormalnyWeb"/>
        <w:spacing w:before="119" w:after="0" w:line="36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Rozstrzygnięcie otwartego konkursu ofert na realizację zadań publicznych w 2015 r.                z zakresu ochrony i promocji zdrowia, działalności na rzecz osób niepełnosprawnych, pom</w:t>
      </w:r>
      <w:r>
        <w:rPr>
          <w:rFonts w:ascii="Calibri" w:hAnsi="Calibri"/>
          <w:b/>
          <w:bCs/>
        </w:rPr>
        <w:t>o</w:t>
      </w:r>
      <w:r>
        <w:rPr>
          <w:rFonts w:ascii="Calibri" w:hAnsi="Calibri"/>
          <w:b/>
          <w:bCs/>
        </w:rPr>
        <w:t>cy społecznej oraz turystyki i krajoznawstwa</w:t>
      </w:r>
    </w:p>
    <w:p w:rsidR="00000000" w:rsidRDefault="00AD6883">
      <w:pPr>
        <w:pStyle w:val="NormalnyWeb"/>
        <w:spacing w:before="119" w:after="0" w:line="360" w:lineRule="auto"/>
        <w:jc w:val="center"/>
        <w:rPr>
          <w:b/>
          <w:bCs/>
          <w:sz w:val="20"/>
          <w:szCs w:val="20"/>
        </w:rPr>
      </w:pP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 Powiat</w:t>
      </w:r>
      <w:r>
        <w:rPr>
          <w:rFonts w:ascii="Calibri" w:hAnsi="Calibri"/>
          <w:sz w:val="22"/>
          <w:szCs w:val="22"/>
        </w:rPr>
        <w:t>u w Świdwinie informuje, że został rozstrzygnięty otwarty konkurs na realizację zadań publicznych w 2015 r. z zakresu ochrony i promocji zdrowia, działalności na rzecz osób niepełnospra</w:t>
      </w:r>
      <w:r>
        <w:rPr>
          <w:rFonts w:ascii="Calibri" w:hAnsi="Calibri"/>
          <w:sz w:val="22"/>
          <w:szCs w:val="22"/>
        </w:rPr>
        <w:t>w</w:t>
      </w:r>
      <w:r>
        <w:rPr>
          <w:rFonts w:ascii="Calibri" w:hAnsi="Calibri"/>
          <w:sz w:val="22"/>
          <w:szCs w:val="22"/>
        </w:rPr>
        <w:t>nych, pomocy społecznej  oraz turystyki i krajoznawstwa ( Uchwała Nr 9</w:t>
      </w:r>
      <w:r>
        <w:rPr>
          <w:rFonts w:ascii="Calibri" w:hAnsi="Calibri"/>
          <w:sz w:val="22"/>
          <w:szCs w:val="22"/>
        </w:rPr>
        <w:t>/15/15 Zarządu Powiatu w Świdwinie z dnia 10 marca 2015 r. o udzieleniu organizacjom pozarządowym dotacji na realizację z</w:t>
      </w:r>
      <w:r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dań publicznych w 2015 roku).</w:t>
      </w: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odpowiedzi na ogłoszony otwarty konkurs ofert (Uchwała Nr 3/5/15 Zarządu Powiatu w Świdwinie    z dnia</w:t>
      </w:r>
      <w:r>
        <w:rPr>
          <w:rFonts w:ascii="Calibri" w:hAnsi="Calibri"/>
          <w:sz w:val="22"/>
          <w:szCs w:val="22"/>
        </w:rPr>
        <w:t xml:space="preserve"> 13 stycznia 2015 r. o ogłoszeniu otwartego konkursu ofert na realizację zadań publicznych            w 2015 r.), wpłynęło 13 ofert :</w:t>
      </w: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 oferty na realizację zadania z zakresu ochrony i promocji zdrowia,</w:t>
      </w: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 oferty na realizację zadania z zakresu działalności</w:t>
      </w:r>
      <w:r>
        <w:rPr>
          <w:rFonts w:ascii="Calibri" w:hAnsi="Calibri"/>
          <w:sz w:val="22"/>
          <w:szCs w:val="22"/>
        </w:rPr>
        <w:t xml:space="preserve"> na rzecz osób niepełnosprawnych,</w:t>
      </w: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4 oferty na realizację zadania z zakresu pomocy społecznej,</w:t>
      </w: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 oferty na realizację zadania z zakresu turystyki i krajoznawstwa</w:t>
      </w: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oceny ofert powołano Komisję Konkursową, która na posiedzeniach dokonała oceny ofert pod wzg</w:t>
      </w:r>
      <w:r>
        <w:rPr>
          <w:rFonts w:ascii="Calibri" w:hAnsi="Calibri"/>
          <w:sz w:val="22"/>
          <w:szCs w:val="22"/>
        </w:rPr>
        <w:t>lędem formalnym i merytorycznym oraz rekomendowała Zarządowi Powiatu w Świdwinie,  5 ofert  do udzielenia dotacji. W wyniku rozstrzygnięcia otwartego konkursu ofert na realizację zadań public</w:t>
      </w:r>
      <w:r>
        <w:rPr>
          <w:rFonts w:ascii="Calibri" w:hAnsi="Calibri"/>
          <w:sz w:val="22"/>
          <w:szCs w:val="22"/>
        </w:rPr>
        <w:t>z</w:t>
      </w:r>
      <w:r>
        <w:rPr>
          <w:rFonts w:ascii="Calibri" w:hAnsi="Calibri"/>
          <w:sz w:val="22"/>
          <w:szCs w:val="22"/>
        </w:rPr>
        <w:t xml:space="preserve">nych w 2015 r., Zarząd Powiatu w Świdwinie udziela organizacjom </w:t>
      </w:r>
      <w:r>
        <w:rPr>
          <w:rFonts w:ascii="Calibri" w:hAnsi="Calibri"/>
          <w:sz w:val="22"/>
          <w:szCs w:val="22"/>
        </w:rPr>
        <w:t>pozarządowym, dotacji zgodnie z powyższym wyszczególnieniem :</w:t>
      </w: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2"/>
        <w:gridCol w:w="798"/>
        <w:gridCol w:w="4226"/>
        <w:gridCol w:w="1835"/>
        <w:gridCol w:w="1847"/>
      </w:tblGrid>
      <w:tr w:rsidR="00000000">
        <w:tc>
          <w:tcPr>
            <w:tcW w:w="5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L.p</w:t>
            </w:r>
          </w:p>
        </w:tc>
        <w:tc>
          <w:tcPr>
            <w:tcW w:w="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42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Nazwa Oferenta</w:t>
            </w:r>
          </w:p>
        </w:tc>
        <w:tc>
          <w:tcPr>
            <w:tcW w:w="1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Nazwa i zakres zadania</w:t>
            </w:r>
          </w:p>
        </w:tc>
        <w:tc>
          <w:tcPr>
            <w:tcW w:w="18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Kwota dotacji</w:t>
            </w:r>
          </w:p>
        </w:tc>
      </w:tr>
      <w:tr w:rsidR="000000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Świdwińskie Stowarzyszenie Amazo</w:t>
            </w:r>
            <w:r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ka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„</w:t>
            </w:r>
            <w:r>
              <w:rPr>
                <w:rFonts w:ascii="Trebuchet MS" w:hAnsi="Trebuchet MS"/>
                <w:sz w:val="20"/>
                <w:szCs w:val="20"/>
              </w:rPr>
              <w:t>Ruch jako lek niezastąpiony”     z zakresu ochrony   i promocji zdrowia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2.000 zł.</w:t>
            </w:r>
          </w:p>
        </w:tc>
      </w:tr>
      <w:tr w:rsidR="000000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Stowarzyszenie na Rzecz Inicjatyw Społecznych „Kariatyda” w Sławob</w:t>
            </w:r>
            <w:r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rzu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IV Spartakiada „Na Leśnej”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2.400 zł. </w:t>
            </w:r>
          </w:p>
        </w:tc>
      </w:tr>
      <w:tr w:rsidR="000000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3</w:t>
            </w: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Stowarzyszenie Emerytów, Rencistów       i Niepełnosprawnych „Słoneczna J</w:t>
            </w:r>
            <w:r>
              <w:rPr>
                <w:rFonts w:ascii="Trebuchet MS" w:hAnsi="Trebuchet MS"/>
              </w:rPr>
              <w:t>e</w:t>
            </w:r>
            <w:r>
              <w:rPr>
                <w:rFonts w:ascii="Trebuchet MS" w:hAnsi="Trebuchet MS"/>
              </w:rPr>
              <w:t>sień” w Świdwinie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„</w:t>
            </w:r>
            <w:r>
              <w:rPr>
                <w:rFonts w:ascii="Trebuchet MS" w:hAnsi="Trebuchet MS"/>
              </w:rPr>
              <w:t>Złota Zumba”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2.000 zł.</w:t>
            </w:r>
          </w:p>
        </w:tc>
      </w:tr>
      <w:tr w:rsidR="000000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Stowarzyszenie na </w:t>
            </w:r>
            <w:r>
              <w:rPr>
                <w:rFonts w:ascii="Trebuchet MS" w:hAnsi="Trebuchet MS"/>
              </w:rPr>
              <w:t>Rzecz Rozwoju S</w:t>
            </w:r>
            <w:r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łectw Niemierzyno i Kłodzino             „Z tradycją w przyszłość”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„</w:t>
            </w:r>
            <w:r>
              <w:rPr>
                <w:rFonts w:ascii="Trebuchet MS" w:hAnsi="Trebuchet MS"/>
              </w:rPr>
              <w:t>Poznajemy naszą małą o</w:t>
            </w:r>
            <w:r>
              <w:rPr>
                <w:rFonts w:ascii="Trebuchet MS" w:hAnsi="Trebuchet MS"/>
              </w:rPr>
              <w:t>j</w:t>
            </w:r>
            <w:r>
              <w:rPr>
                <w:rFonts w:ascii="Trebuchet MS" w:hAnsi="Trebuchet MS"/>
              </w:rPr>
              <w:t>czyznę”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4.000 zł.</w:t>
            </w:r>
          </w:p>
        </w:tc>
      </w:tr>
      <w:tr w:rsidR="000000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Lokalna Organizacja Turystyczna „P</w:t>
            </w:r>
            <w:r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lodowcowa Kraina Drawy i Dębnicy”</w:t>
            </w: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snapToGrid w:val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„</w:t>
            </w:r>
            <w:r>
              <w:rPr>
                <w:rFonts w:ascii="Trebuchet MS" w:hAnsi="Trebuchet MS"/>
              </w:rPr>
              <w:t>Cykl rodzi</w:t>
            </w:r>
            <w:r>
              <w:rPr>
                <w:rFonts w:ascii="Trebuchet MS" w:hAnsi="Trebuchet MS"/>
              </w:rPr>
              <w:t>n</w:t>
            </w:r>
            <w:r>
              <w:rPr>
                <w:rFonts w:ascii="Trebuchet MS" w:hAnsi="Trebuchet MS"/>
              </w:rPr>
              <w:t>nych rajdów rowerowych i gier teren</w:t>
            </w:r>
            <w:r>
              <w:rPr>
                <w:rFonts w:ascii="Trebuchet MS" w:hAnsi="Trebuchet MS"/>
              </w:rPr>
              <w:t>o</w:t>
            </w:r>
            <w:r>
              <w:rPr>
                <w:rFonts w:ascii="Trebuchet MS" w:hAnsi="Trebuchet MS"/>
              </w:rPr>
              <w:t>wych”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1.8</w:t>
            </w:r>
            <w:r>
              <w:rPr>
                <w:rFonts w:ascii="Trebuchet MS" w:hAnsi="Trebuchet MS"/>
              </w:rPr>
              <w:t xml:space="preserve">90 zł. </w:t>
            </w:r>
          </w:p>
        </w:tc>
      </w:tr>
      <w:tr w:rsidR="00000000">
        <w:tc>
          <w:tcPr>
            <w:tcW w:w="5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</w:p>
        </w:tc>
        <w:tc>
          <w:tcPr>
            <w:tcW w:w="42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</w:rPr>
            </w:pPr>
          </w:p>
        </w:tc>
        <w:tc>
          <w:tcPr>
            <w:tcW w:w="1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both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RAZEM :</w:t>
            </w:r>
          </w:p>
        </w:tc>
        <w:tc>
          <w:tcPr>
            <w:tcW w:w="184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AD6883">
            <w:pPr>
              <w:pStyle w:val="Tretabeli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12.290 zł. </w:t>
            </w:r>
          </w:p>
        </w:tc>
      </w:tr>
    </w:tbl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pStyle w:val="NormalnyWeb"/>
        <w:spacing w:before="119"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Zgodnie z art. 15 ust. 2i ustawy</w:t>
      </w:r>
      <w:r>
        <w:rPr>
          <w:rFonts w:ascii="Calibri" w:hAnsi="Calibri"/>
          <w:i/>
          <w:iCs/>
          <w:sz w:val="22"/>
          <w:szCs w:val="22"/>
        </w:rPr>
        <w:t xml:space="preserve"> o działalności pożytku publicznego i o wolontariacie,</w:t>
      </w:r>
      <w:r>
        <w:rPr>
          <w:rFonts w:ascii="Calibri" w:hAnsi="Calibri"/>
          <w:sz w:val="22"/>
          <w:szCs w:val="22"/>
        </w:rPr>
        <w:t xml:space="preserve"> każdy w terminie 30 dni od dnia ogłoszenia wyników konkursu, może żądać uzasadnienia wyboru lub odrzucenia oferty. Od podjętych decyzji</w:t>
      </w:r>
      <w:r>
        <w:rPr>
          <w:rFonts w:ascii="Calibri" w:hAnsi="Calibri"/>
          <w:sz w:val="22"/>
          <w:szCs w:val="22"/>
        </w:rPr>
        <w:t xml:space="preserve"> podmiotom nie przysługuje odwołanie. </w:t>
      </w: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000000" w:rsidRDefault="00AD6883">
      <w:pPr>
        <w:spacing w:before="119" w:line="360" w:lineRule="auto"/>
        <w:jc w:val="both"/>
        <w:rPr>
          <w:rFonts w:ascii="Arial" w:hAnsi="Arial"/>
          <w:sz w:val="22"/>
          <w:szCs w:val="22"/>
        </w:rPr>
      </w:pPr>
    </w:p>
    <w:p w:rsidR="00AD6883" w:rsidRDefault="00AD6883">
      <w:pPr>
        <w:spacing w:before="119" w:line="360" w:lineRule="auto"/>
        <w:jc w:val="both"/>
        <w:rPr>
          <w:sz w:val="22"/>
          <w:szCs w:val="22"/>
        </w:rPr>
      </w:pPr>
    </w:p>
    <w:sectPr w:rsidR="00AD6883">
      <w:pgSz w:w="11905" w:h="16837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6A31C1"/>
    <w:rsid w:val="002144A6"/>
    <w:rsid w:val="006A31C1"/>
    <w:rsid w:val="00AD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outlineLvl w:val="0"/>
    </w:p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customStyle="1" w:styleId="ZnakZnak1">
    <w:name w:val=" Znak Znak1"/>
    <w:basedOn w:val="Domylnaczcionkaakapitu1"/>
    <w:rPr>
      <w:rFonts w:ascii="Tahoma" w:eastAsia="Times New Roman" w:hAnsi="Tahoma" w:cs="Tahoma"/>
      <w:sz w:val="16"/>
      <w:szCs w:val="16"/>
    </w:rPr>
  </w:style>
  <w:style w:type="character" w:customStyle="1" w:styleId="ZnakZnak">
    <w:name w:val=" Znak Znak"/>
    <w:basedOn w:val="Domylnaczcionkaakapitu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Symbolenumeracji">
    <w:name w:val="Symbole numeracji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styleId="Hipercze">
    <w:name w:val="Hyperlink"/>
    <w:rPr>
      <w:color w:val="000080"/>
      <w:u w:val="single"/>
      <w:lang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color w:val="FF0000"/>
    </w:rPr>
  </w:style>
  <w:style w:type="character" w:customStyle="1" w:styleId="Comment">
    <w:name w:val="Comment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Wypunktowanie">
    <w:name w:val="Wypunktowanie"/>
    <w:rPr>
      <w:rFonts w:ascii="OpenSymbol" w:eastAsia="OpenSymbol" w:hAnsi="OpenSymbol" w:cs="OpenSymbol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ormalny1">
    <w:name w:val="Normalny1"/>
    <w:next w:val="Normalny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  <w:lang/>
    </w:rPr>
  </w:style>
  <w:style w:type="paragraph" w:customStyle="1" w:styleId="DefinitionTerm">
    <w:name w:val="Definition Term"/>
    <w:basedOn w:val="Normalny1"/>
    <w:next w:val="DefinitionList"/>
    <w:pPr>
      <w:spacing w:before="0" w:after="0"/>
    </w:pPr>
  </w:style>
  <w:style w:type="paragraph" w:customStyle="1" w:styleId="DefinitionList">
    <w:name w:val="Definition List"/>
    <w:basedOn w:val="Normalny1"/>
    <w:next w:val="DefinitionTerm"/>
    <w:pPr>
      <w:spacing w:before="0" w:after="0"/>
      <w:ind w:left="360"/>
    </w:pPr>
  </w:style>
  <w:style w:type="paragraph" w:customStyle="1" w:styleId="H1">
    <w:name w:val="H1"/>
    <w:basedOn w:val="Normalny1"/>
    <w:next w:val="Normalny1"/>
    <w:pPr>
      <w:keepNext/>
      <w:numPr>
        <w:ilvl w:val="1"/>
        <w:numId w:val="2"/>
      </w:numPr>
      <w:outlineLvl w:val="1"/>
    </w:pPr>
    <w:rPr>
      <w:b/>
      <w:bCs/>
      <w:kern w:val="1"/>
      <w:sz w:val="48"/>
      <w:szCs w:val="48"/>
    </w:rPr>
  </w:style>
  <w:style w:type="paragraph" w:customStyle="1" w:styleId="H2">
    <w:name w:val="H2"/>
    <w:basedOn w:val="Normalny1"/>
    <w:next w:val="Normalny1"/>
    <w:pPr>
      <w:keepNext/>
      <w:numPr>
        <w:ilvl w:val="2"/>
        <w:numId w:val="2"/>
      </w:numPr>
      <w:outlineLvl w:val="2"/>
    </w:pPr>
    <w:rPr>
      <w:b/>
      <w:bCs/>
      <w:sz w:val="36"/>
      <w:szCs w:val="36"/>
    </w:rPr>
  </w:style>
  <w:style w:type="paragraph" w:customStyle="1" w:styleId="H3">
    <w:name w:val="H3"/>
    <w:basedOn w:val="Normalny1"/>
    <w:next w:val="Normalny1"/>
    <w:pPr>
      <w:keepNext/>
      <w:numPr>
        <w:ilvl w:val="3"/>
        <w:numId w:val="2"/>
      </w:numPr>
      <w:outlineLvl w:val="3"/>
    </w:pPr>
    <w:rPr>
      <w:b/>
      <w:bCs/>
      <w:sz w:val="28"/>
      <w:szCs w:val="28"/>
    </w:rPr>
  </w:style>
  <w:style w:type="paragraph" w:customStyle="1" w:styleId="H4">
    <w:name w:val="H4"/>
    <w:basedOn w:val="Normalny1"/>
    <w:next w:val="Normalny1"/>
    <w:pPr>
      <w:keepNext/>
      <w:numPr>
        <w:ilvl w:val="4"/>
        <w:numId w:val="2"/>
      </w:numPr>
      <w:outlineLvl w:val="4"/>
    </w:pPr>
    <w:rPr>
      <w:b/>
      <w:bCs/>
    </w:rPr>
  </w:style>
  <w:style w:type="paragraph" w:customStyle="1" w:styleId="H5">
    <w:name w:val="H5"/>
    <w:basedOn w:val="Normalny1"/>
    <w:next w:val="Normalny1"/>
    <w:pPr>
      <w:keepNext/>
      <w:numPr>
        <w:ilvl w:val="5"/>
        <w:numId w:val="2"/>
      </w:numPr>
      <w:outlineLvl w:val="5"/>
    </w:pPr>
    <w:rPr>
      <w:b/>
      <w:bCs/>
      <w:sz w:val="20"/>
      <w:szCs w:val="20"/>
    </w:rPr>
  </w:style>
  <w:style w:type="paragraph" w:customStyle="1" w:styleId="H6">
    <w:name w:val="H6"/>
    <w:basedOn w:val="Normalny1"/>
    <w:next w:val="Normalny1"/>
    <w:pPr>
      <w:keepNext/>
      <w:numPr>
        <w:ilvl w:val="6"/>
        <w:numId w:val="2"/>
      </w:numPr>
      <w:outlineLvl w:val="6"/>
    </w:pPr>
    <w:rPr>
      <w:b/>
      <w:bCs/>
      <w:sz w:val="16"/>
      <w:szCs w:val="16"/>
    </w:rPr>
  </w:style>
  <w:style w:type="paragraph" w:customStyle="1" w:styleId="Address">
    <w:name w:val="Address"/>
    <w:basedOn w:val="Normalny1"/>
    <w:next w:val="Normalny1"/>
    <w:pPr>
      <w:spacing w:before="0" w:after="0"/>
    </w:pPr>
    <w:rPr>
      <w:i/>
      <w:iCs/>
    </w:rPr>
  </w:style>
  <w:style w:type="paragraph" w:customStyle="1" w:styleId="Blockquote">
    <w:name w:val="Blockquote"/>
    <w:basedOn w:val="Normalny1"/>
    <w:next w:val="Normalny"/>
    <w:pPr>
      <w:ind w:left="360" w:right="360"/>
    </w:pPr>
  </w:style>
  <w:style w:type="paragraph" w:customStyle="1" w:styleId="Preformatted">
    <w:name w:val="Preformatted"/>
    <w:basedOn w:val="Normalny1"/>
    <w:next w:val="Normalny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z-BottomofForm">
    <w:name w:val="z-Bottom of Form"/>
    <w:next w:val="Normalny1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customStyle="1" w:styleId="z-TopofForm">
    <w:name w:val="z-Top of Form"/>
    <w:next w:val="Normalny1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/>
      <w:sz w:val="16"/>
      <w:szCs w:val="16"/>
      <w:lang/>
    </w:rPr>
  </w:style>
  <w:style w:type="paragraph" w:styleId="NormalnyWeb">
    <w:name w:val="Normal (Web)"/>
    <w:basedOn w:val="Normalny"/>
    <w:pPr>
      <w:spacing w:before="280" w:after="119"/>
    </w:pPr>
  </w:style>
  <w:style w:type="paragraph" w:customStyle="1" w:styleId="Tretabeli">
    <w:name w:val="Treść tabeli"/>
    <w:basedOn w:val="Normalny"/>
    <w:pPr>
      <w:suppressLineNumbers/>
    </w:pPr>
  </w:style>
  <w:style w:type="paragraph" w:customStyle="1" w:styleId="Nagwektabeli">
    <w:name w:val="Nagłówek tabeli"/>
    <w:basedOn w:val="Tre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</vt:lpstr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</dc:title>
  <dc:creator>admin</dc:creator>
  <cp:lastModifiedBy>AndrzejS</cp:lastModifiedBy>
  <cp:revision>2</cp:revision>
  <cp:lastPrinted>2014-05-20T13:31:00Z</cp:lastPrinted>
  <dcterms:created xsi:type="dcterms:W3CDTF">2015-03-12T09:51:00Z</dcterms:created>
  <dcterms:modified xsi:type="dcterms:W3CDTF">2015-03-12T09:51:00Z</dcterms:modified>
</cp:coreProperties>
</file>