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Objaśnienia wartości przyjętych w </w:t>
      </w:r>
      <w:r w:rsidR="005605F9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ieloletniej </w:t>
      </w:r>
      <w:r w:rsidR="005605F9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 xml:space="preserve">rognozie </w:t>
      </w:r>
      <w:r w:rsidR="005605F9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inansowej</w:t>
      </w:r>
    </w:p>
    <w:p w:rsidR="002B07F8" w:rsidRDefault="002B07F8" w:rsidP="009320F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Powiatu Świdwińskiego na lata  20</w:t>
      </w:r>
      <w:r w:rsidR="0056034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2027</w:t>
      </w:r>
    </w:p>
    <w:p w:rsidR="002B07F8" w:rsidRDefault="005605F9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Wieloletnia P</w:t>
      </w:r>
      <w:r w:rsidR="002B07F8">
        <w:rPr>
          <w:rFonts w:ascii="Times New Roman" w:hAnsi="Times New Roman" w:cs="Times New Roman"/>
          <w:sz w:val="24"/>
          <w:szCs w:val="24"/>
        </w:rPr>
        <w:t xml:space="preserve">rognoza </w:t>
      </w:r>
      <w:r>
        <w:rPr>
          <w:rFonts w:ascii="Times New Roman" w:hAnsi="Times New Roman" w:cs="Times New Roman"/>
          <w:sz w:val="24"/>
          <w:szCs w:val="24"/>
        </w:rPr>
        <w:t>F</w:t>
      </w:r>
      <w:r w:rsidR="002B07F8">
        <w:rPr>
          <w:rFonts w:ascii="Times New Roman" w:hAnsi="Times New Roman" w:cs="Times New Roman"/>
          <w:sz w:val="24"/>
          <w:szCs w:val="24"/>
        </w:rPr>
        <w:t>inansowa obejmuje okres roku budżetowego 20</w:t>
      </w:r>
      <w:r w:rsidR="00560344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oraz trzech kolejnych lat. Okres objęty wieloletnią prognozą finansową nie jest jednak krótszy niż okres, na który zaciągnięto oraz planuje się zaciągnąć zobowiązania, w przypadku Powiatu Świdwińskiego prognoza obejmuje lata 20</w:t>
      </w:r>
      <w:r w:rsidR="00560344">
        <w:rPr>
          <w:rFonts w:ascii="Times New Roman" w:hAnsi="Times New Roman" w:cs="Times New Roman"/>
          <w:sz w:val="24"/>
          <w:szCs w:val="24"/>
        </w:rPr>
        <w:t>20</w:t>
      </w:r>
      <w:r w:rsidR="00CC5BF6">
        <w:rPr>
          <w:rFonts w:ascii="Times New Roman" w:hAnsi="Times New Roman" w:cs="Times New Roman"/>
          <w:sz w:val="24"/>
          <w:szCs w:val="24"/>
        </w:rPr>
        <w:t xml:space="preserve"> – 2027.</w:t>
      </w:r>
      <w:bookmarkStart w:id="0" w:name="_GoBack"/>
      <w:bookmarkEnd w:id="0"/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składniki wieloletniej prognozy finansowej  to  kwoty  dochodów i wydatków, w podziale na bieżące i majątkowe.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  wartości przyjętych w WPF, dokonano w dwóch okresach czasowych:</w:t>
      </w:r>
    </w:p>
    <w:p w:rsidR="002B07F8" w:rsidRDefault="002E427B" w:rsidP="009320F4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wynikający z ustawy o finansach publicznych tj. rok budżetowy 20</w:t>
      </w:r>
      <w:r w:rsidR="00560344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oraz trzy kolejne lata tj. rok  20</w:t>
      </w:r>
      <w:r w:rsidR="007227D9">
        <w:rPr>
          <w:rFonts w:ascii="Times New Roman" w:hAnsi="Times New Roman" w:cs="Times New Roman"/>
          <w:sz w:val="24"/>
          <w:szCs w:val="24"/>
        </w:rPr>
        <w:t>2</w:t>
      </w:r>
      <w:r w:rsidR="00560344">
        <w:rPr>
          <w:rFonts w:ascii="Times New Roman" w:hAnsi="Times New Roman" w:cs="Times New Roman"/>
          <w:sz w:val="24"/>
          <w:szCs w:val="24"/>
        </w:rPr>
        <w:t>1</w:t>
      </w:r>
      <w:r w:rsidR="002B07F8">
        <w:rPr>
          <w:rFonts w:ascii="Times New Roman" w:hAnsi="Times New Roman" w:cs="Times New Roman"/>
          <w:sz w:val="24"/>
          <w:szCs w:val="24"/>
        </w:rPr>
        <w:t>– 202</w:t>
      </w:r>
      <w:r w:rsidR="005603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B07F8" w:rsidRDefault="002E427B" w:rsidP="009320F4">
      <w:pPr>
        <w:widowControl w:val="0"/>
        <w:numPr>
          <w:ilvl w:val="0"/>
          <w:numId w:val="1"/>
        </w:numPr>
        <w:tabs>
          <w:tab w:val="left" w:pos="7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ind w:left="7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B07F8">
        <w:rPr>
          <w:rFonts w:ascii="Times New Roman" w:hAnsi="Times New Roman" w:cs="Times New Roman"/>
          <w:sz w:val="24"/>
          <w:szCs w:val="24"/>
        </w:rPr>
        <w:t>kres czasowy na jaki zaciąg</w:t>
      </w:r>
      <w:r w:rsidR="002A0DDD">
        <w:rPr>
          <w:rFonts w:ascii="Times New Roman" w:hAnsi="Times New Roman" w:cs="Times New Roman"/>
          <w:sz w:val="24"/>
          <w:szCs w:val="24"/>
        </w:rPr>
        <w:t>nięto zobowiązania tj. lata 20</w:t>
      </w:r>
      <w:r w:rsidR="00560344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B07F8">
        <w:rPr>
          <w:rFonts w:ascii="Times New Roman" w:hAnsi="Times New Roman" w:cs="Times New Roman"/>
          <w:sz w:val="24"/>
          <w:szCs w:val="24"/>
        </w:rPr>
        <w:t xml:space="preserve"> 2027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Dochody: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Dochody bieżące</w:t>
      </w:r>
      <w:r>
        <w:rPr>
          <w:rFonts w:ascii="Times New Roman" w:hAnsi="Times New Roman" w:cs="Times New Roman"/>
          <w:sz w:val="24"/>
          <w:szCs w:val="24"/>
        </w:rPr>
        <w:t xml:space="preserve"> ( kol. 1.1) – wysokość do</w:t>
      </w:r>
      <w:r w:rsidR="002A0DDD">
        <w:rPr>
          <w:rFonts w:ascii="Times New Roman" w:hAnsi="Times New Roman" w:cs="Times New Roman"/>
          <w:sz w:val="24"/>
          <w:szCs w:val="24"/>
        </w:rPr>
        <w:t>chodów  bieżących, w latach 20</w:t>
      </w:r>
      <w:r w:rsidR="00F01BEA">
        <w:rPr>
          <w:rFonts w:ascii="Times New Roman" w:hAnsi="Times New Roman" w:cs="Times New Roman"/>
          <w:sz w:val="24"/>
          <w:szCs w:val="24"/>
        </w:rPr>
        <w:t>2</w:t>
      </w:r>
      <w:r w:rsidR="005603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do 202</w:t>
      </w:r>
      <w:r w:rsidR="00B757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 ustalono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w oparciu o  wskaźnik  wzrostu  rok do roku – średnio od </w:t>
      </w:r>
      <w:r w:rsidR="00B7571D">
        <w:rPr>
          <w:rFonts w:ascii="Times New Roman" w:hAnsi="Times New Roman" w:cs="Times New Roman"/>
          <w:sz w:val="24"/>
          <w:szCs w:val="24"/>
        </w:rPr>
        <w:t>1,7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2E427B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571D">
        <w:rPr>
          <w:rFonts w:ascii="Times New Roman" w:hAnsi="Times New Roman" w:cs="Times New Roman"/>
          <w:sz w:val="24"/>
          <w:szCs w:val="24"/>
        </w:rPr>
        <w:t>3,7%. Dla urealnienia budżetu dochody na lata 2021- 2023 zaplanowano w stosunku do roku 2019.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roku 202</w:t>
      </w:r>
      <w:r w:rsidR="006E036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dochody bieżące zaplanowano w sposób umożliwiającym pokrycie wydatków bieżących oraz spłatę wcześniej zaciągniętych kredytów</w:t>
      </w:r>
      <w:r w:rsidR="00B7571D">
        <w:rPr>
          <w:rFonts w:ascii="Times New Roman" w:hAnsi="Times New Roman" w:cs="Times New Roman"/>
          <w:sz w:val="24"/>
          <w:szCs w:val="24"/>
        </w:rPr>
        <w:t xml:space="preserve"> i pożyczek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Dochody majątkowe (kol.1.2 )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Wielkości dochodów majątkowych przyjęte do WPF w latach 20</w:t>
      </w:r>
      <w:r w:rsidR="00B757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 ustalono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oparciu 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o  wysokość  współfi</w:t>
      </w:r>
      <w:r w:rsidR="00B821FB">
        <w:rPr>
          <w:rFonts w:ascii="Times New Roman" w:hAnsi="Times New Roman" w:cs="Times New Roman"/>
          <w:sz w:val="24"/>
          <w:szCs w:val="24"/>
        </w:rPr>
        <w:t>nansowania środkami zewnętrznym</w:t>
      </w:r>
      <w:r>
        <w:rPr>
          <w:rFonts w:ascii="Times New Roman" w:hAnsi="Times New Roman" w:cs="Times New Roman"/>
          <w:sz w:val="24"/>
          <w:szCs w:val="24"/>
        </w:rPr>
        <w:t>, np. środkami z Unii Europejskiej w ramach Regionalnego Programu Operacyjnego Wojewó</w:t>
      </w:r>
      <w:r w:rsidR="002C042A">
        <w:rPr>
          <w:rFonts w:ascii="Times New Roman" w:hAnsi="Times New Roman" w:cs="Times New Roman"/>
          <w:sz w:val="24"/>
          <w:szCs w:val="24"/>
        </w:rPr>
        <w:t xml:space="preserve">dztwa Zachodniopomorskiego oraz </w:t>
      </w:r>
      <w:r>
        <w:rPr>
          <w:rFonts w:ascii="Times New Roman" w:hAnsi="Times New Roman" w:cs="Times New Roman"/>
          <w:sz w:val="24"/>
          <w:szCs w:val="24"/>
        </w:rPr>
        <w:t xml:space="preserve">innymi dochodami zewnętrznymi, oraz dochodów stanowiących udział, dofinansowanie ½ kwoty wkładu własnego otrzymane z gmin, na terenie których będą realizowane inwestycje „drogowe”.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ze sprzedaży mienia powiat</w:t>
      </w:r>
      <w:r w:rsidR="00F01BEA">
        <w:rPr>
          <w:rFonts w:ascii="Times New Roman" w:hAnsi="Times New Roman" w:cs="Times New Roman"/>
          <w:sz w:val="24"/>
          <w:szCs w:val="24"/>
        </w:rPr>
        <w:t>u zaplanowane są jedynie na 20</w:t>
      </w:r>
      <w:r w:rsidR="00B757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60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 roku 202</w:t>
      </w:r>
      <w:r w:rsidR="00B757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nie przyjęto wielkości dochodów majątkowych</w:t>
      </w:r>
      <w:r w:rsidR="006E0361">
        <w:rPr>
          <w:rFonts w:ascii="Times New Roman" w:hAnsi="Times New Roman" w:cs="Times New Roman"/>
          <w:sz w:val="24"/>
          <w:szCs w:val="24"/>
        </w:rPr>
        <w:t xml:space="preserve">, </w:t>
      </w:r>
      <w:r w:rsidR="00780EF0">
        <w:rPr>
          <w:rFonts w:ascii="Times New Roman" w:hAnsi="Times New Roman" w:cs="Times New Roman"/>
          <w:sz w:val="24"/>
          <w:szCs w:val="24"/>
        </w:rPr>
        <w:t xml:space="preserve">gdyż inwestycje </w:t>
      </w:r>
      <w:r w:rsidR="006E0361">
        <w:rPr>
          <w:rFonts w:ascii="Times New Roman" w:hAnsi="Times New Roman" w:cs="Times New Roman"/>
          <w:sz w:val="24"/>
          <w:szCs w:val="24"/>
        </w:rPr>
        <w:t>planowan</w:t>
      </w:r>
      <w:r w:rsidR="00780EF0">
        <w:rPr>
          <w:rFonts w:ascii="Times New Roman" w:hAnsi="Times New Roman" w:cs="Times New Roman"/>
          <w:sz w:val="24"/>
          <w:szCs w:val="24"/>
        </w:rPr>
        <w:t>e do realizacji zgodnie z planowanymi przedsięwzięciami, są do roku 2024.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Wydatki: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Wydatki bieżące </w:t>
      </w:r>
      <w:r>
        <w:rPr>
          <w:rFonts w:ascii="Times New Roman" w:hAnsi="Times New Roman" w:cs="Times New Roman"/>
          <w:sz w:val="24"/>
          <w:szCs w:val="24"/>
        </w:rPr>
        <w:t>( kol.2.1 )  ustalono w oparciu o wskaźnik wzrostu w poszczególnych latach, biorąc pod uwagę</w:t>
      </w:r>
      <w:r w:rsidR="00780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dynamikę wzrostu cen towar</w:t>
      </w:r>
      <w:r w:rsidR="002A0DDD">
        <w:rPr>
          <w:rFonts w:ascii="Times New Roman" w:hAnsi="Times New Roman" w:cs="Times New Roman"/>
          <w:sz w:val="24"/>
          <w:szCs w:val="24"/>
        </w:rPr>
        <w:t xml:space="preserve">ów i usług konsumpcyjnych od </w:t>
      </w:r>
      <w:r w:rsidR="006E0361">
        <w:rPr>
          <w:rFonts w:ascii="Times New Roman" w:hAnsi="Times New Roman" w:cs="Times New Roman"/>
          <w:sz w:val="24"/>
          <w:szCs w:val="24"/>
        </w:rPr>
        <w:t>2</w:t>
      </w:r>
      <w:r w:rsidR="00134D13">
        <w:rPr>
          <w:rFonts w:ascii="Times New Roman" w:hAnsi="Times New Roman" w:cs="Times New Roman"/>
          <w:sz w:val="24"/>
          <w:szCs w:val="24"/>
        </w:rPr>
        <w:t>,00%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134D13">
        <w:rPr>
          <w:rFonts w:ascii="Times New Roman" w:hAnsi="Times New Roman" w:cs="Times New Roman"/>
          <w:sz w:val="24"/>
          <w:szCs w:val="24"/>
        </w:rPr>
        <w:t>2,</w:t>
      </w:r>
      <w:r w:rsidR="006C533F">
        <w:rPr>
          <w:rFonts w:ascii="Times New Roman" w:hAnsi="Times New Roman" w:cs="Times New Roman"/>
          <w:sz w:val="24"/>
          <w:szCs w:val="24"/>
        </w:rPr>
        <w:t>5</w:t>
      </w:r>
      <w:r w:rsidR="00134D1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780EF0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planowania wydatków, brano pod uwagę wielkość zadłużenia i związane z tym koszty obsługi długu ( przyjęto średniorocznie oprocentowanie w wysokości 4 % ). 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czynnikiem kształtującym wysokość planowanych  wydatków bieżących w latach 20</w:t>
      </w:r>
      <w:r w:rsidR="00780E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80E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są zaplanowane wydatki majątkowe a więc i zaangażowanie środków bieżących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 w:rsidR="002A0DD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planowanych inwestycjach .</w:t>
      </w:r>
    </w:p>
    <w:p w:rsidR="009B5CB6" w:rsidRDefault="009B5CB6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znacznym obciążeniem budżetu powiatu z tytułu realizowanych inwestycji</w:t>
      </w:r>
      <w:r w:rsidR="00932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latach 20</w:t>
      </w:r>
      <w:r w:rsidR="00780EF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780E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oraz spłatą kredytów </w:t>
      </w:r>
      <w:r w:rsidR="00FD3D08">
        <w:rPr>
          <w:rFonts w:ascii="Times New Roman" w:hAnsi="Times New Roman" w:cs="Times New Roman"/>
          <w:sz w:val="24"/>
          <w:szCs w:val="24"/>
        </w:rPr>
        <w:t>i pożyczek</w:t>
      </w:r>
      <w:r>
        <w:rPr>
          <w:rFonts w:ascii="Times New Roman" w:hAnsi="Times New Roman" w:cs="Times New Roman"/>
          <w:sz w:val="24"/>
          <w:szCs w:val="24"/>
        </w:rPr>
        <w:t xml:space="preserve">, dochody bieżące </w:t>
      </w:r>
      <w:r w:rsidR="00FD3D08">
        <w:rPr>
          <w:rFonts w:ascii="Times New Roman" w:hAnsi="Times New Roman" w:cs="Times New Roman"/>
          <w:sz w:val="24"/>
          <w:szCs w:val="24"/>
        </w:rPr>
        <w:t xml:space="preserve">powiększono o </w:t>
      </w:r>
      <w:r>
        <w:rPr>
          <w:rFonts w:ascii="Times New Roman" w:hAnsi="Times New Roman" w:cs="Times New Roman"/>
          <w:sz w:val="24"/>
          <w:szCs w:val="24"/>
        </w:rPr>
        <w:t xml:space="preserve">środki niezbędne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do zabezpieczenia wkładu własnego w realizowane inwestycje i środki niezbędne na spłatę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już</w:t>
      </w:r>
      <w:r w:rsidR="00B82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zaciągniętych kredytów. Po roku 202</w:t>
      </w:r>
      <w:r w:rsidR="00FD3D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wielkości budżetu</w:t>
      </w:r>
      <w:r w:rsidR="003007D2">
        <w:rPr>
          <w:rFonts w:ascii="Times New Roman" w:hAnsi="Times New Roman" w:cs="Times New Roman"/>
          <w:sz w:val="24"/>
          <w:szCs w:val="24"/>
        </w:rPr>
        <w:t xml:space="preserve"> wzrastają odpowiednio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007D2">
        <w:rPr>
          <w:rFonts w:ascii="Times New Roman" w:hAnsi="Times New Roman" w:cs="Times New Roman"/>
          <w:sz w:val="24"/>
          <w:szCs w:val="24"/>
        </w:rPr>
        <w:t>do zrównoważenia budżetu i wypracowania nadwyżki na spłatę wcześniej zaciągniętych zobowiązań.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Wydatki majątkowe</w:t>
      </w:r>
      <w:r>
        <w:rPr>
          <w:rFonts w:ascii="Times New Roman" w:hAnsi="Times New Roman" w:cs="Times New Roman"/>
          <w:sz w:val="24"/>
          <w:szCs w:val="24"/>
        </w:rPr>
        <w:t xml:space="preserve"> ( kol.2.2 ) ujęte w WPF zaplanowano w oparciu o wieloletni plan inwestycyjny powiatu na lata 20</w:t>
      </w:r>
      <w:r w:rsidR="00FD3D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514C7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(wg załączonych tabel od Nr 1 do Nr </w:t>
      </w:r>
      <w:r w:rsidR="00514C7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). Nie planowano wydatków majątkowych po roku 202</w:t>
      </w:r>
      <w:r w:rsidR="00FD3D08">
        <w:rPr>
          <w:rFonts w:ascii="Times New Roman" w:hAnsi="Times New Roman" w:cs="Times New Roman"/>
          <w:sz w:val="24"/>
          <w:szCs w:val="24"/>
        </w:rPr>
        <w:t>4</w:t>
      </w:r>
      <w:r w:rsidR="002C042A">
        <w:rPr>
          <w:rFonts w:ascii="Times New Roman" w:hAnsi="Times New Roman" w:cs="Times New Roman"/>
          <w:sz w:val="24"/>
          <w:szCs w:val="24"/>
        </w:rPr>
        <w:t>, gdyż ich realizowanie będzie zależne od dochodów pozyskanych ze źródeł zewnętrznych.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Wynik budżetu</w:t>
      </w:r>
      <w:r w:rsidR="00411908">
        <w:rPr>
          <w:rFonts w:ascii="Times New Roman" w:hAnsi="Times New Roman" w:cs="Times New Roman"/>
          <w:sz w:val="24"/>
          <w:szCs w:val="24"/>
        </w:rPr>
        <w:t>:</w:t>
      </w:r>
    </w:p>
    <w:p w:rsidR="002B07F8" w:rsidRDefault="00BA1931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Kol. 3 –</w:t>
      </w:r>
      <w:r w:rsidR="002B07F8">
        <w:rPr>
          <w:rFonts w:ascii="Times New Roman" w:hAnsi="Times New Roman" w:cs="Times New Roman"/>
          <w:sz w:val="24"/>
          <w:szCs w:val="24"/>
        </w:rPr>
        <w:t xml:space="preserve"> W wyniku zaplanowanych  dochodów i wydatków  w roku 20</w:t>
      </w:r>
      <w:r w:rsidR="00CA1638">
        <w:rPr>
          <w:rFonts w:ascii="Times New Roman" w:hAnsi="Times New Roman" w:cs="Times New Roman"/>
          <w:sz w:val="24"/>
          <w:szCs w:val="24"/>
        </w:rPr>
        <w:t>20</w:t>
      </w:r>
      <w:r w:rsidR="002B07F8">
        <w:rPr>
          <w:rFonts w:ascii="Times New Roman" w:hAnsi="Times New Roman" w:cs="Times New Roman"/>
          <w:sz w:val="24"/>
          <w:szCs w:val="24"/>
        </w:rPr>
        <w:t xml:space="preserve"> budżet zamknie się </w:t>
      </w:r>
      <w:r w:rsidR="00134D13">
        <w:rPr>
          <w:rFonts w:ascii="Times New Roman" w:hAnsi="Times New Roman" w:cs="Times New Roman"/>
          <w:sz w:val="24"/>
          <w:szCs w:val="24"/>
        </w:rPr>
        <w:t>nadwyżką budżetową</w:t>
      </w:r>
      <w:r w:rsidR="00CA1638">
        <w:rPr>
          <w:rFonts w:ascii="Times New Roman" w:hAnsi="Times New Roman" w:cs="Times New Roman"/>
          <w:sz w:val="24"/>
          <w:szCs w:val="24"/>
        </w:rPr>
        <w:t xml:space="preserve"> w wysokości 1.623.000</w:t>
      </w:r>
      <w:r w:rsidR="00A51058">
        <w:rPr>
          <w:rFonts w:ascii="Times New Roman" w:hAnsi="Times New Roman" w:cs="Times New Roman"/>
          <w:sz w:val="24"/>
          <w:szCs w:val="24"/>
        </w:rPr>
        <w:t xml:space="preserve"> zł. W latach następnych, budżet również</w:t>
      </w:r>
      <w:r w:rsidR="002B07F8">
        <w:rPr>
          <w:rFonts w:ascii="Times New Roman" w:hAnsi="Times New Roman" w:cs="Times New Roman"/>
          <w:sz w:val="24"/>
          <w:szCs w:val="24"/>
        </w:rPr>
        <w:t xml:space="preserve"> zamyka się nadwyżką, która przeznaczana </w:t>
      </w:r>
      <w:r w:rsidR="00A51058">
        <w:rPr>
          <w:rFonts w:ascii="Times New Roman" w:hAnsi="Times New Roman" w:cs="Times New Roman"/>
          <w:sz w:val="24"/>
          <w:szCs w:val="24"/>
        </w:rPr>
        <w:t xml:space="preserve">jest odpowiednio </w:t>
      </w:r>
      <w:r w:rsidR="002B07F8">
        <w:rPr>
          <w:rFonts w:ascii="Times New Roman" w:hAnsi="Times New Roman" w:cs="Times New Roman"/>
          <w:sz w:val="24"/>
          <w:szCs w:val="24"/>
        </w:rPr>
        <w:t>na spłatę zadłużenia.</w:t>
      </w:r>
    </w:p>
    <w:p w:rsidR="00CA1638" w:rsidRPr="0023599C" w:rsidRDefault="00CA163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Przychody budżetu</w:t>
      </w:r>
      <w:r>
        <w:rPr>
          <w:rFonts w:ascii="Times New Roman" w:hAnsi="Times New Roman" w:cs="Times New Roman"/>
          <w:sz w:val="24"/>
          <w:szCs w:val="24"/>
        </w:rPr>
        <w:t xml:space="preserve"> wykazane w </w:t>
      </w:r>
      <w:r w:rsidR="00B1164A">
        <w:rPr>
          <w:rFonts w:ascii="Times New Roman" w:hAnsi="Times New Roman" w:cs="Times New Roman"/>
          <w:sz w:val="24"/>
          <w:szCs w:val="24"/>
        </w:rPr>
        <w:t>kolumnie 4 w wysokości 697.000</w:t>
      </w:r>
      <w:r>
        <w:rPr>
          <w:rFonts w:ascii="Times New Roman" w:hAnsi="Times New Roman" w:cs="Times New Roman"/>
          <w:sz w:val="24"/>
          <w:szCs w:val="24"/>
        </w:rPr>
        <w:t xml:space="preserve"> zł, </w:t>
      </w:r>
      <w:r w:rsidRPr="0023599C">
        <w:rPr>
          <w:rFonts w:ascii="Times New Roman" w:hAnsi="Times New Roman" w:cs="Times New Roman"/>
          <w:sz w:val="24"/>
          <w:szCs w:val="24"/>
        </w:rPr>
        <w:t>ustalono w oparciu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9C">
        <w:rPr>
          <w:rFonts w:ascii="Times New Roman" w:hAnsi="Times New Roman" w:cs="Times New Roman"/>
          <w:sz w:val="24"/>
          <w:szCs w:val="24"/>
        </w:rPr>
        <w:t>o wolne środki z lat ubiegłych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99C">
        <w:rPr>
          <w:rFonts w:ascii="Times New Roman" w:hAnsi="Times New Roman" w:cs="Times New Roman"/>
          <w:sz w:val="24"/>
          <w:szCs w:val="24"/>
        </w:rPr>
        <w:t>w wysokości</w:t>
      </w:r>
      <w:r w:rsidR="00B1164A">
        <w:rPr>
          <w:rFonts w:ascii="Times New Roman" w:hAnsi="Times New Roman" w:cs="Times New Roman"/>
          <w:sz w:val="24"/>
          <w:szCs w:val="24"/>
        </w:rPr>
        <w:t xml:space="preserve"> 697.000</w:t>
      </w:r>
      <w:r w:rsidRPr="0023599C">
        <w:rPr>
          <w:rFonts w:ascii="Times New Roman" w:hAnsi="Times New Roman" w:cs="Times New Roman"/>
          <w:sz w:val="24"/>
          <w:szCs w:val="24"/>
        </w:rPr>
        <w:t xml:space="preserve"> zł (kol. 4.</w:t>
      </w:r>
      <w:r w:rsidR="00B1164A">
        <w:rPr>
          <w:rFonts w:ascii="Times New Roman" w:hAnsi="Times New Roman" w:cs="Times New Roman"/>
          <w:sz w:val="24"/>
          <w:szCs w:val="24"/>
        </w:rPr>
        <w:t>3)</w:t>
      </w:r>
      <w:r w:rsidRPr="002359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Rozchody budżetu</w:t>
      </w:r>
      <w:r>
        <w:rPr>
          <w:rFonts w:ascii="Times New Roman" w:hAnsi="Times New Roman" w:cs="Times New Roman"/>
          <w:sz w:val="24"/>
          <w:szCs w:val="24"/>
        </w:rPr>
        <w:t xml:space="preserve"> wykazane w kol. 5</w:t>
      </w:r>
      <w:r w:rsidR="00BA19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ustalono w oparciu o wysokość rat spłaty zaciągniętych kredytów przed rokiem 20</w:t>
      </w:r>
      <w:r w:rsidR="00B1164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A51058">
        <w:rPr>
          <w:rFonts w:ascii="Times New Roman" w:hAnsi="Times New Roman" w:cs="Times New Roman"/>
          <w:sz w:val="24"/>
          <w:szCs w:val="24"/>
        </w:rPr>
        <w:t>2.</w:t>
      </w:r>
      <w:r w:rsidR="00B1164A">
        <w:rPr>
          <w:rFonts w:ascii="Times New Roman" w:hAnsi="Times New Roman" w:cs="Times New Roman"/>
          <w:sz w:val="24"/>
          <w:szCs w:val="24"/>
        </w:rPr>
        <w:t xml:space="preserve">320.000 </w:t>
      </w:r>
      <w:r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B1164A" w:rsidRDefault="00B1164A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 nie posiada niestandardowych zobowiązań finansowych. Poniżej przedstawiono specyfikę zobowiązań finansowych z tytułu zaciągniętych kredytów i pożyczek:</w:t>
      </w:r>
    </w:p>
    <w:p w:rsidR="00B1164A" w:rsidRPr="00600048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OCHRONY ŚRODOWISKA SA O/KOSZALIN – okres finansowania (2011 – 2020)</w:t>
      </w:r>
      <w:r>
        <w:rPr>
          <w:rFonts w:ascii="Times New Roman" w:hAnsi="Times New Roman" w:cs="Times New Roman"/>
        </w:rPr>
        <w:t xml:space="preserve">, </w:t>
      </w:r>
      <w:r w:rsidRPr="00187671">
        <w:rPr>
          <w:rFonts w:ascii="Times New Roman" w:hAnsi="Times New Roman" w:cs="Times New Roman"/>
          <w:u w:val="single"/>
        </w:rPr>
        <w:t xml:space="preserve">zadłużenie </w:t>
      </w:r>
      <w:r w:rsidR="009320F4" w:rsidRPr="00187671">
        <w:rPr>
          <w:rFonts w:ascii="Times New Roman" w:hAnsi="Times New Roman" w:cs="Times New Roman"/>
          <w:u w:val="single"/>
        </w:rPr>
        <w:t xml:space="preserve">    </w:t>
      </w:r>
      <w:r w:rsidRPr="00187671">
        <w:rPr>
          <w:rFonts w:ascii="Times New Roman" w:hAnsi="Times New Roman" w:cs="Times New Roman"/>
          <w:u w:val="single"/>
        </w:rPr>
        <w:t>do spłaty = 1.347.500 zł</w:t>
      </w:r>
      <w:r w:rsidRPr="006000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kwota do spłaty: </w:t>
      </w:r>
      <w:r w:rsidRPr="00600048">
        <w:rPr>
          <w:rFonts w:ascii="Times New Roman" w:hAnsi="Times New Roman" w:cs="Times New Roman"/>
        </w:rPr>
        <w:t>2020 r. = 1.347.500 zł;</w:t>
      </w:r>
    </w:p>
    <w:p w:rsidR="00B1164A" w:rsidRPr="00600048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(2015 – 2024), </w:t>
      </w:r>
      <w:r w:rsidRPr="00187671">
        <w:rPr>
          <w:rFonts w:ascii="Times New Roman" w:hAnsi="Times New Roman" w:cs="Times New Roman"/>
          <w:u w:val="single"/>
        </w:rPr>
        <w:t>zadłużenie do spłaty = 1.562.500 zł</w:t>
      </w:r>
      <w:r w:rsidRPr="00600048">
        <w:rPr>
          <w:rFonts w:ascii="Times New Roman" w:hAnsi="Times New Roman" w:cs="Times New Roman"/>
        </w:rPr>
        <w:t>, kwoty do spłaty: 2020 r. = 312.500 zł, 2021 r. = 312.500 zł, 2022 r. = 312.500 zł, 2023 r. = 312.500 zł, 2024 r. = 312.500 zł;</w:t>
      </w:r>
    </w:p>
    <w:p w:rsidR="00B1164A" w:rsidRPr="00600048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BANK GOSPODARSTWA KRAJOWEGO O/SZCZECIN – okres finansowania (2018 – 202</w:t>
      </w:r>
      <w:r>
        <w:rPr>
          <w:rFonts w:ascii="Times New Roman" w:hAnsi="Times New Roman" w:cs="Times New Roman"/>
        </w:rPr>
        <w:t xml:space="preserve">7), </w:t>
      </w:r>
      <w:r w:rsidRPr="00187671">
        <w:rPr>
          <w:rFonts w:ascii="Times New Roman" w:hAnsi="Times New Roman" w:cs="Times New Roman"/>
          <w:u w:val="single"/>
        </w:rPr>
        <w:t>zadłużenie do spłaty = 1.680.000 zł</w:t>
      </w:r>
      <w:r w:rsidRPr="00600048">
        <w:rPr>
          <w:rFonts w:ascii="Times New Roman" w:hAnsi="Times New Roman" w:cs="Times New Roman"/>
        </w:rPr>
        <w:t xml:space="preserve">, kwoty do spłaty: 2020 r. = 210.000 zł, 2021 r. = 210.000 zł, 2022 r. = 210.000 zł, 2023 r. = 210.000 zł, 2024 r. = 210.000 zł, 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2025 r. = 210.000 zł,</w:t>
      </w:r>
      <w:r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>2026 r. = 210.000 zł, 2027 r. = 210.000 zł;</w:t>
      </w:r>
    </w:p>
    <w:p w:rsidR="00B1164A" w:rsidRPr="00600048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 xml:space="preserve">BANK GOSPODARSTWA KRAJOWEGO O/SZCZECIN – okres finansowania (2019 – 2026), </w:t>
      </w:r>
      <w:r w:rsidRPr="00187671">
        <w:rPr>
          <w:rFonts w:ascii="Times New Roman" w:hAnsi="Times New Roman" w:cs="Times New Roman"/>
          <w:u w:val="single"/>
        </w:rPr>
        <w:t>zadłużenie do spłaty = 3.250.000 zł</w:t>
      </w:r>
      <w:r w:rsidRPr="00600048">
        <w:rPr>
          <w:rFonts w:ascii="Times New Roman" w:hAnsi="Times New Roman" w:cs="Times New Roman"/>
        </w:rPr>
        <w:t>, kwoty do spłaty: 2020 r. = 250.000 zł, 2021 r. = 500.000 zł, 2022 r. = 500.000 zł, 2023 r. = 500.000 zł, 2024 r. = 500.000 zł, 2025 r. = 500.000 zł, 2026 r. = 500.000 zł;</w:t>
      </w:r>
    </w:p>
    <w:p w:rsidR="00B1164A" w:rsidRDefault="00B1164A" w:rsidP="009320F4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00048">
        <w:rPr>
          <w:rFonts w:ascii="Times New Roman" w:hAnsi="Times New Roman" w:cs="Times New Roman"/>
        </w:rPr>
        <w:t>NARODOWY FUNDUSZ OCHRONY ŚRODOWISKA I GOSPODARKI WODNEJ W WARSZAWIE</w:t>
      </w:r>
      <w:r>
        <w:rPr>
          <w:rFonts w:ascii="Times New Roman" w:hAnsi="Times New Roman" w:cs="Times New Roman"/>
        </w:rPr>
        <w:t xml:space="preserve"> – </w:t>
      </w:r>
      <w:r w:rsidRPr="00600048">
        <w:rPr>
          <w:rFonts w:ascii="Times New Roman" w:hAnsi="Times New Roman" w:cs="Times New Roman"/>
        </w:rPr>
        <w:t xml:space="preserve">okres finansowania (2015 – 2024), </w:t>
      </w:r>
      <w:r w:rsidRPr="00187671">
        <w:rPr>
          <w:rFonts w:ascii="Times New Roman" w:hAnsi="Times New Roman" w:cs="Times New Roman"/>
          <w:u w:val="single"/>
        </w:rPr>
        <w:t>zadłużenie do spłaty = 1.000.000 zł</w:t>
      </w:r>
      <w:r w:rsidRPr="00600048">
        <w:rPr>
          <w:rFonts w:ascii="Times New Roman" w:hAnsi="Times New Roman" w:cs="Times New Roman"/>
        </w:rPr>
        <w:t xml:space="preserve">, kwoty do spłaty: 2020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2021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2022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</w:t>
      </w:r>
      <w:r w:rsidR="003F051D">
        <w:rPr>
          <w:rFonts w:ascii="Times New Roman" w:hAnsi="Times New Roman" w:cs="Times New Roman"/>
        </w:rPr>
        <w:t xml:space="preserve"> </w:t>
      </w:r>
      <w:r w:rsidRPr="00600048">
        <w:rPr>
          <w:rFonts w:ascii="Times New Roman" w:hAnsi="Times New Roman" w:cs="Times New Roman"/>
        </w:rPr>
        <w:t xml:space="preserve">2023 r. = </w:t>
      </w:r>
      <w:r>
        <w:rPr>
          <w:rFonts w:ascii="Times New Roman" w:hAnsi="Times New Roman" w:cs="Times New Roman"/>
        </w:rPr>
        <w:t>200.0</w:t>
      </w:r>
      <w:r w:rsidRPr="00600048">
        <w:rPr>
          <w:rFonts w:ascii="Times New Roman" w:hAnsi="Times New Roman" w:cs="Times New Roman"/>
        </w:rPr>
        <w:t xml:space="preserve">00 zł, 2024 r. = </w:t>
      </w:r>
      <w:r>
        <w:rPr>
          <w:rFonts w:ascii="Times New Roman" w:hAnsi="Times New Roman" w:cs="Times New Roman"/>
        </w:rPr>
        <w:t>200.000 zł.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Kwota zadłużenia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1931">
        <w:rPr>
          <w:rFonts w:ascii="Times New Roman" w:hAnsi="Times New Roman" w:cs="Times New Roman"/>
          <w:b/>
          <w:sz w:val="24"/>
          <w:szCs w:val="24"/>
        </w:rPr>
        <w:t>powiatu</w:t>
      </w:r>
      <w:r w:rsidR="00BA1931">
        <w:rPr>
          <w:rFonts w:ascii="Times New Roman" w:hAnsi="Times New Roman" w:cs="Times New Roman"/>
          <w:sz w:val="24"/>
          <w:szCs w:val="24"/>
        </w:rPr>
        <w:t xml:space="preserve"> wykazana w kol. 6,</w:t>
      </w:r>
      <w:r>
        <w:rPr>
          <w:rFonts w:ascii="Times New Roman" w:hAnsi="Times New Roman" w:cs="Times New Roman"/>
          <w:sz w:val="24"/>
          <w:szCs w:val="24"/>
        </w:rPr>
        <w:t xml:space="preserve"> wynika z wielkości kwot zaciągniętych  i spłacanych kredytów. </w:t>
      </w:r>
    </w:p>
    <w:p w:rsidR="002B07F8" w:rsidRDefault="003F051D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kolumnie 8.1</w:t>
      </w:r>
      <w:r w:rsidR="002B07F8">
        <w:rPr>
          <w:rFonts w:ascii="Times New Roman" w:hAnsi="Times New Roman" w:cs="Times New Roman"/>
          <w:sz w:val="24"/>
          <w:szCs w:val="24"/>
        </w:rPr>
        <w:t xml:space="preserve">  wykazano wskaźnik określający wysokość spłaty kredytu przez Powiat.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kolumnie </w:t>
      </w:r>
      <w:r w:rsidR="003F051D">
        <w:rPr>
          <w:rFonts w:ascii="Times New Roman" w:hAnsi="Times New Roman" w:cs="Times New Roman"/>
          <w:sz w:val="24"/>
          <w:szCs w:val="24"/>
        </w:rPr>
        <w:t>8.3</w:t>
      </w:r>
      <w:r>
        <w:rPr>
          <w:rFonts w:ascii="Times New Roman" w:hAnsi="Times New Roman" w:cs="Times New Roman"/>
          <w:sz w:val="24"/>
          <w:szCs w:val="24"/>
        </w:rPr>
        <w:t>.1 wykazano dopuszczalny wskaźnik spłaty zobowiązań przez Powiat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(tzw. </w:t>
      </w:r>
      <w:r w:rsidR="00BA193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ndywidualny wskaźnik spłaty zadłu</w:t>
      </w:r>
      <w:r w:rsidR="003F051D">
        <w:rPr>
          <w:rFonts w:ascii="Times New Roman" w:hAnsi="Times New Roman" w:cs="Times New Roman"/>
          <w:sz w:val="24"/>
          <w:szCs w:val="24"/>
        </w:rPr>
        <w:t xml:space="preserve">żenia – średnia arytmetyczna z </w:t>
      </w:r>
      <w:r w:rsidR="00900C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poprzednich lat).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przedstawionych wskaźników wynika, że zaplanowane w roku 20</w:t>
      </w:r>
      <w:r w:rsidR="003F051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i kolejnych</w:t>
      </w:r>
      <w:r w:rsidR="00361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latach,  zobowiązania dłużne do dochodów ogółem, mieszczą się w granicach dopuszczonych przez ustawę </w:t>
      </w:r>
      <w:r w:rsidR="009320F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o finansach publicznych i  Powiat będzie w stanie pokryć swoje zobowiązania z tytułu zaciąganych kredytów. 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Zobowiązania powiatu (wyk</w:t>
      </w:r>
      <w:r w:rsidR="00FF311F">
        <w:rPr>
          <w:rFonts w:ascii="Times New Roman" w:hAnsi="Times New Roman" w:cs="Times New Roman"/>
          <w:sz w:val="24"/>
          <w:szCs w:val="24"/>
        </w:rPr>
        <w:t xml:space="preserve">azane w kol. </w:t>
      </w:r>
      <w:r w:rsidR="003F051D">
        <w:rPr>
          <w:rFonts w:ascii="Times New Roman" w:hAnsi="Times New Roman" w:cs="Times New Roman"/>
          <w:sz w:val="24"/>
          <w:szCs w:val="24"/>
        </w:rPr>
        <w:t>5</w:t>
      </w:r>
      <w:r w:rsidR="00FF311F">
        <w:rPr>
          <w:rFonts w:ascii="Times New Roman" w:hAnsi="Times New Roman" w:cs="Times New Roman"/>
          <w:sz w:val="24"/>
          <w:szCs w:val="24"/>
        </w:rPr>
        <w:t>)  na koniec 20</w:t>
      </w:r>
      <w:r w:rsidR="003F051D">
        <w:rPr>
          <w:rFonts w:ascii="Times New Roman" w:hAnsi="Times New Roman" w:cs="Times New Roman"/>
          <w:sz w:val="24"/>
          <w:szCs w:val="24"/>
        </w:rPr>
        <w:t>20</w:t>
      </w:r>
      <w:r w:rsidR="00FF311F">
        <w:rPr>
          <w:rFonts w:ascii="Times New Roman" w:hAnsi="Times New Roman" w:cs="Times New Roman"/>
          <w:sz w:val="24"/>
          <w:szCs w:val="24"/>
        </w:rPr>
        <w:t xml:space="preserve"> roku będzie wynosiło </w:t>
      </w:r>
      <w:r w:rsidR="003F051D">
        <w:rPr>
          <w:rFonts w:ascii="Times New Roman" w:hAnsi="Times New Roman" w:cs="Times New Roman"/>
          <w:sz w:val="24"/>
          <w:szCs w:val="24"/>
        </w:rPr>
        <w:t xml:space="preserve"> 6.520</w:t>
      </w:r>
      <w:r w:rsidR="00C80595">
        <w:rPr>
          <w:rFonts w:ascii="Times New Roman" w:hAnsi="Times New Roman" w:cs="Times New Roman"/>
          <w:sz w:val="24"/>
          <w:szCs w:val="24"/>
        </w:rPr>
        <w:t>.000</w:t>
      </w:r>
      <w:r w:rsidR="005E7BB7">
        <w:rPr>
          <w:rFonts w:ascii="Times New Roman" w:hAnsi="Times New Roman" w:cs="Times New Roman"/>
          <w:sz w:val="24"/>
          <w:szCs w:val="24"/>
        </w:rPr>
        <w:t xml:space="preserve"> </w:t>
      </w:r>
      <w:r w:rsidR="003614B8">
        <w:rPr>
          <w:rFonts w:ascii="Times New Roman" w:hAnsi="Times New Roman" w:cs="Times New Roman"/>
          <w:sz w:val="24"/>
          <w:szCs w:val="24"/>
        </w:rPr>
        <w:t xml:space="preserve">zł </w:t>
      </w:r>
      <w:r w:rsidR="00BA193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może być spłacane w wielkościach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zaplanowanych (kol. 5.1), gdyż mieści się</w:t>
      </w:r>
      <w:r w:rsidR="00BA1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  dopuszczal</w:t>
      </w:r>
      <w:r w:rsidR="003F051D">
        <w:rPr>
          <w:rFonts w:ascii="Times New Roman" w:hAnsi="Times New Roman" w:cs="Times New Roman"/>
          <w:sz w:val="24"/>
          <w:szCs w:val="24"/>
        </w:rPr>
        <w:t>nym wskaźniku spłaty zobowiązań zgodnie z wyliczeniami według art. 243 ustawy o finansach publicznych.</w:t>
      </w: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7F8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Powiatu</w:t>
      </w:r>
    </w:p>
    <w:p w:rsidR="00B274D9" w:rsidRDefault="002B07F8" w:rsidP="009320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40" w:after="24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Lucyna Miętek </w:t>
      </w:r>
    </w:p>
    <w:sectPr w:rsidR="00B274D9" w:rsidSect="009320F4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0" w:hanging="42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13583D39"/>
    <w:multiLevelType w:val="hybridMultilevel"/>
    <w:tmpl w:val="EC40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F8"/>
    <w:rsid w:val="00134D13"/>
    <w:rsid w:val="00187671"/>
    <w:rsid w:val="0026038A"/>
    <w:rsid w:val="002A0DDD"/>
    <w:rsid w:val="002B07F8"/>
    <w:rsid w:val="002C042A"/>
    <w:rsid w:val="002C0E3F"/>
    <w:rsid w:val="002E427B"/>
    <w:rsid w:val="003007D2"/>
    <w:rsid w:val="003614B8"/>
    <w:rsid w:val="003F051D"/>
    <w:rsid w:val="00411908"/>
    <w:rsid w:val="00514C7E"/>
    <w:rsid w:val="00541828"/>
    <w:rsid w:val="00541C61"/>
    <w:rsid w:val="00560344"/>
    <w:rsid w:val="005605F9"/>
    <w:rsid w:val="005E7BB7"/>
    <w:rsid w:val="00600C8A"/>
    <w:rsid w:val="006C533F"/>
    <w:rsid w:val="006E0361"/>
    <w:rsid w:val="007227D9"/>
    <w:rsid w:val="00764406"/>
    <w:rsid w:val="00780EF0"/>
    <w:rsid w:val="00900CC5"/>
    <w:rsid w:val="009320F4"/>
    <w:rsid w:val="009B5CB6"/>
    <w:rsid w:val="00A51058"/>
    <w:rsid w:val="00B1164A"/>
    <w:rsid w:val="00B274D9"/>
    <w:rsid w:val="00B7571D"/>
    <w:rsid w:val="00B821FB"/>
    <w:rsid w:val="00BA1931"/>
    <w:rsid w:val="00C41230"/>
    <w:rsid w:val="00C80595"/>
    <w:rsid w:val="00CA1638"/>
    <w:rsid w:val="00CC5BF6"/>
    <w:rsid w:val="00D51E2A"/>
    <w:rsid w:val="00E22FEE"/>
    <w:rsid w:val="00ED5A1B"/>
    <w:rsid w:val="00F01BEA"/>
    <w:rsid w:val="00FD3D08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30ECC-1D88-489A-A836-B035D1CF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7F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7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74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5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AniaB</cp:lastModifiedBy>
  <cp:revision>24</cp:revision>
  <cp:lastPrinted>2019-11-08T07:55:00Z</cp:lastPrinted>
  <dcterms:created xsi:type="dcterms:W3CDTF">2017-11-07T06:51:00Z</dcterms:created>
  <dcterms:modified xsi:type="dcterms:W3CDTF">2020-03-19T10:49:00Z</dcterms:modified>
</cp:coreProperties>
</file>