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FAD" w:rsidRDefault="002A120D">
      <w:r>
        <w:t>ZP.272.5.2016</w:t>
      </w:r>
    </w:p>
    <w:sdt>
      <w:sdtPr>
        <w:id w:val="-879930973"/>
        <w:docPartObj>
          <w:docPartGallery w:val="Cover Pages"/>
          <w:docPartUnique/>
        </w:docPartObj>
      </w:sdtPr>
      <w:sdtEndPr>
        <w:rPr>
          <w:b/>
          <w:bCs/>
          <w:caps/>
        </w:rPr>
      </w:sdtEndPr>
      <w:sdtContent>
        <w:p w:rsidR="00861267" w:rsidRDefault="00861267"/>
        <w:p w:rsidR="00861267" w:rsidRDefault="00861267"/>
        <w:p w:rsidR="00861267" w:rsidRDefault="00861267" w:rsidP="00861267"/>
        <w:p w:rsidR="00861267" w:rsidRDefault="00861267" w:rsidP="00861267">
          <w:pPr>
            <w:jc w:val="center"/>
            <w:rPr>
              <w:b/>
              <w:sz w:val="56"/>
            </w:rPr>
          </w:pPr>
        </w:p>
        <w:p w:rsidR="00861267" w:rsidRDefault="00861267" w:rsidP="00861267">
          <w:pPr>
            <w:jc w:val="center"/>
            <w:rPr>
              <w:b/>
              <w:sz w:val="56"/>
            </w:rPr>
          </w:pPr>
        </w:p>
        <w:p w:rsidR="00861267" w:rsidRDefault="00861267" w:rsidP="00861267">
          <w:pPr>
            <w:jc w:val="center"/>
            <w:rPr>
              <w:b/>
              <w:sz w:val="56"/>
            </w:rPr>
          </w:pPr>
          <w:r w:rsidRPr="009D2810">
            <w:rPr>
              <w:b/>
              <w:sz w:val="56"/>
            </w:rPr>
            <w:t xml:space="preserve">Załącznik nr </w:t>
          </w:r>
          <w:r>
            <w:rPr>
              <w:b/>
              <w:sz w:val="56"/>
            </w:rPr>
            <w:t>2</w:t>
          </w:r>
        </w:p>
        <w:p w:rsidR="00861267" w:rsidRPr="009D2810" w:rsidRDefault="00861267" w:rsidP="00861267">
          <w:pPr>
            <w:jc w:val="center"/>
            <w:rPr>
              <w:b/>
              <w:sz w:val="56"/>
            </w:rPr>
          </w:pPr>
        </w:p>
        <w:p w:rsidR="00861267" w:rsidRPr="009D2810" w:rsidRDefault="00861267" w:rsidP="00861267">
          <w:pPr>
            <w:jc w:val="center"/>
            <w:rPr>
              <w:b/>
              <w:sz w:val="56"/>
            </w:rPr>
          </w:pPr>
          <w:r>
            <w:rPr>
              <w:b/>
              <w:sz w:val="56"/>
            </w:rPr>
            <w:t>Ocena potrzeb zdrowotnych</w:t>
          </w:r>
        </w:p>
        <w:p w:rsidR="00861267" w:rsidRDefault="00861267"/>
        <w:p w:rsidR="00861267" w:rsidRDefault="00861267">
          <w:pPr>
            <w:spacing w:before="200" w:after="200" w:line="276" w:lineRule="auto"/>
            <w:jc w:val="left"/>
          </w:pPr>
          <w:r>
            <w:rPr>
              <w:b/>
              <w:bCs/>
              <w:caps/>
            </w:rPr>
            <w:br w:type="page"/>
          </w:r>
        </w:p>
      </w:sdtContent>
    </w:sdt>
    <w:sdt>
      <w:sdtPr>
        <w:rPr>
          <w:b w:val="0"/>
          <w:bCs w:val="0"/>
          <w:caps w:val="0"/>
          <w:color w:val="auto"/>
          <w:spacing w:val="0"/>
          <w:sz w:val="22"/>
          <w:szCs w:val="20"/>
          <w:lang w:bidi="ar-SA"/>
        </w:rPr>
        <w:id w:val="1641766194"/>
        <w:docPartObj>
          <w:docPartGallery w:val="Table of Contents"/>
          <w:docPartUnique/>
        </w:docPartObj>
      </w:sdtPr>
      <w:sdtContent>
        <w:p w:rsidR="0034372E" w:rsidRDefault="0034372E">
          <w:pPr>
            <w:pStyle w:val="Nagwekspisutreci"/>
          </w:pPr>
          <w:r>
            <w:t>Spis treści</w:t>
          </w:r>
        </w:p>
        <w:p w:rsidR="00861267" w:rsidRDefault="00967BA4">
          <w:pPr>
            <w:pStyle w:val="Spistreci1"/>
            <w:tabs>
              <w:tab w:val="right" w:leader="dot" w:pos="9395"/>
            </w:tabs>
            <w:rPr>
              <w:rFonts w:asciiTheme="minorHAnsi" w:hAnsiTheme="minorHAnsi"/>
              <w:b w:val="0"/>
              <w:noProof/>
              <w:szCs w:val="22"/>
              <w:lang w:val="en-US"/>
            </w:rPr>
          </w:pPr>
          <w:r w:rsidRPr="00967BA4">
            <w:fldChar w:fldCharType="begin"/>
          </w:r>
          <w:r w:rsidR="00861267">
            <w:instrText xml:space="preserve"> TOC \o "1-3" \h \z \u </w:instrText>
          </w:r>
          <w:r w:rsidRPr="00967BA4">
            <w:fldChar w:fldCharType="separate"/>
          </w:r>
          <w:hyperlink w:anchor="_Toc389078563" w:history="1">
            <w:r w:rsidR="00861267" w:rsidRPr="003E28EB">
              <w:rPr>
                <w:rStyle w:val="Hipercze"/>
                <w:noProof/>
              </w:rPr>
              <w:t>ETAP I</w:t>
            </w:r>
            <w:r w:rsidR="0086126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61267">
              <w:rPr>
                <w:noProof/>
                <w:webHidden/>
              </w:rPr>
              <w:instrText xml:space="preserve"> PAGEREF _Toc389078563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90C2B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1267" w:rsidRDefault="00967BA4">
          <w:pPr>
            <w:pStyle w:val="Spistreci1"/>
            <w:tabs>
              <w:tab w:val="right" w:leader="dot" w:pos="9395"/>
            </w:tabs>
            <w:rPr>
              <w:rFonts w:asciiTheme="minorHAnsi" w:hAnsiTheme="minorHAnsi"/>
              <w:b w:val="0"/>
              <w:noProof/>
              <w:szCs w:val="22"/>
              <w:lang w:val="en-US"/>
            </w:rPr>
          </w:pPr>
          <w:hyperlink w:anchor="_Toc389078564" w:history="1">
            <w:r w:rsidR="00861267" w:rsidRPr="003E28EB">
              <w:rPr>
                <w:rStyle w:val="Hipercze"/>
                <w:noProof/>
              </w:rPr>
              <w:t>Analiza istotnych potrzeb zdrowotnych ludności Powiatu Świdwińskiego</w:t>
            </w:r>
            <w:r w:rsidR="0086126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61267">
              <w:rPr>
                <w:noProof/>
                <w:webHidden/>
              </w:rPr>
              <w:instrText xml:space="preserve"> PAGEREF _Toc389078564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90C2B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1267" w:rsidRDefault="00967BA4">
          <w:pPr>
            <w:pStyle w:val="Spistreci2"/>
            <w:tabs>
              <w:tab w:val="right" w:leader="dot" w:pos="9395"/>
            </w:tabs>
            <w:rPr>
              <w:rFonts w:asciiTheme="minorHAnsi" w:hAnsiTheme="minorHAnsi"/>
              <w:noProof/>
              <w:szCs w:val="22"/>
              <w:lang w:val="en-US"/>
            </w:rPr>
          </w:pPr>
          <w:hyperlink w:anchor="_Toc389078565" w:history="1">
            <w:r w:rsidR="00861267" w:rsidRPr="003E28EB">
              <w:rPr>
                <w:rStyle w:val="Hipercze"/>
                <w:noProof/>
              </w:rPr>
              <w:t>1. Zakres priorytetowych potrzeb zdrowotnych</w:t>
            </w:r>
            <w:r w:rsidR="0086126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61267">
              <w:rPr>
                <w:noProof/>
                <w:webHidden/>
              </w:rPr>
              <w:instrText xml:space="preserve"> PAGEREF _Toc389078565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90C2B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1267" w:rsidRDefault="00967BA4">
          <w:pPr>
            <w:pStyle w:val="Spistreci2"/>
            <w:tabs>
              <w:tab w:val="right" w:leader="dot" w:pos="9395"/>
            </w:tabs>
            <w:rPr>
              <w:rFonts w:asciiTheme="minorHAnsi" w:hAnsiTheme="minorHAnsi"/>
              <w:noProof/>
              <w:szCs w:val="22"/>
              <w:lang w:val="en-US"/>
            </w:rPr>
          </w:pPr>
          <w:hyperlink w:anchor="_Toc389078566" w:history="1">
            <w:r w:rsidR="00861267" w:rsidRPr="003E28EB">
              <w:rPr>
                <w:rStyle w:val="Hipercze"/>
                <w:noProof/>
              </w:rPr>
              <w:t>2. Analiza społeczno-ekonomiczna</w:t>
            </w:r>
            <w:r w:rsidR="0086126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61267">
              <w:rPr>
                <w:noProof/>
                <w:webHidden/>
              </w:rPr>
              <w:instrText xml:space="preserve"> PAGEREF _Toc389078566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90C2B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1267" w:rsidRDefault="00967BA4">
          <w:pPr>
            <w:pStyle w:val="Spistreci3"/>
            <w:rPr>
              <w:rFonts w:asciiTheme="minorHAnsi" w:hAnsiTheme="minorHAnsi"/>
              <w:i w:val="0"/>
              <w:noProof/>
              <w:szCs w:val="22"/>
              <w:lang w:val="en-US"/>
            </w:rPr>
          </w:pPr>
          <w:hyperlink w:anchor="_Toc389078567" w:history="1">
            <w:r w:rsidR="00861267" w:rsidRPr="003E28EB">
              <w:rPr>
                <w:rStyle w:val="Hipercze"/>
                <w:noProof/>
              </w:rPr>
              <w:t>1.2.1. Demografia i rozwój społeczny</w:t>
            </w:r>
            <w:r w:rsidR="0086126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61267">
              <w:rPr>
                <w:noProof/>
                <w:webHidden/>
              </w:rPr>
              <w:instrText xml:space="preserve"> PAGEREF _Toc389078567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90C2B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1267" w:rsidRDefault="00967BA4">
          <w:pPr>
            <w:pStyle w:val="Spistreci3"/>
            <w:rPr>
              <w:rFonts w:asciiTheme="minorHAnsi" w:hAnsiTheme="minorHAnsi"/>
              <w:i w:val="0"/>
              <w:noProof/>
              <w:szCs w:val="22"/>
              <w:lang w:val="en-US"/>
            </w:rPr>
          </w:pPr>
          <w:hyperlink w:anchor="_Toc389078568" w:history="1">
            <w:r w:rsidR="00861267" w:rsidRPr="003E28EB">
              <w:rPr>
                <w:rStyle w:val="Hipercze"/>
                <w:noProof/>
              </w:rPr>
              <w:t>1.2.2. Warunki bytowe</w:t>
            </w:r>
            <w:r w:rsidR="0086126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61267">
              <w:rPr>
                <w:noProof/>
                <w:webHidden/>
              </w:rPr>
              <w:instrText xml:space="preserve"> PAGEREF _Toc389078568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90C2B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1267" w:rsidRDefault="00967BA4">
          <w:pPr>
            <w:pStyle w:val="Spistreci3"/>
            <w:rPr>
              <w:rFonts w:asciiTheme="minorHAnsi" w:hAnsiTheme="minorHAnsi"/>
              <w:i w:val="0"/>
              <w:noProof/>
              <w:szCs w:val="22"/>
              <w:lang w:val="en-US"/>
            </w:rPr>
          </w:pPr>
          <w:hyperlink w:anchor="_Toc389078569" w:history="1">
            <w:r w:rsidR="00861267" w:rsidRPr="003E28EB">
              <w:rPr>
                <w:rStyle w:val="Hipercze"/>
                <w:noProof/>
              </w:rPr>
              <w:t>1.2.3. Uwarunkowania ekonomiczne</w:t>
            </w:r>
            <w:r w:rsidR="0086126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61267">
              <w:rPr>
                <w:noProof/>
                <w:webHidden/>
              </w:rPr>
              <w:instrText xml:space="preserve"> PAGEREF _Toc389078569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90C2B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1267" w:rsidRDefault="00967BA4">
          <w:pPr>
            <w:pStyle w:val="Spistreci3"/>
            <w:rPr>
              <w:rFonts w:asciiTheme="minorHAnsi" w:hAnsiTheme="minorHAnsi"/>
              <w:i w:val="0"/>
              <w:noProof/>
              <w:szCs w:val="22"/>
              <w:lang w:val="en-US"/>
            </w:rPr>
          </w:pPr>
          <w:hyperlink w:anchor="_Toc389078570" w:history="1">
            <w:r w:rsidR="00861267" w:rsidRPr="003E28EB">
              <w:rPr>
                <w:rStyle w:val="Hipercze"/>
                <w:noProof/>
              </w:rPr>
              <w:t>1.2.4. Podsumowanie</w:t>
            </w:r>
            <w:r w:rsidR="0086126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61267">
              <w:rPr>
                <w:noProof/>
                <w:webHidden/>
              </w:rPr>
              <w:instrText xml:space="preserve"> PAGEREF _Toc389078570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90C2B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1267" w:rsidRDefault="00967BA4">
          <w:pPr>
            <w:pStyle w:val="Spistreci1"/>
            <w:tabs>
              <w:tab w:val="right" w:leader="dot" w:pos="9395"/>
            </w:tabs>
            <w:rPr>
              <w:rFonts w:asciiTheme="minorHAnsi" w:hAnsiTheme="minorHAnsi"/>
              <w:b w:val="0"/>
              <w:noProof/>
              <w:szCs w:val="22"/>
              <w:lang w:val="en-US"/>
            </w:rPr>
          </w:pPr>
          <w:hyperlink w:anchor="_Toc389078571" w:history="1">
            <w:r w:rsidR="00861267" w:rsidRPr="003E28EB">
              <w:rPr>
                <w:rStyle w:val="Hipercze"/>
                <w:noProof/>
              </w:rPr>
              <w:t>ETAP II</w:t>
            </w:r>
            <w:r w:rsidR="0086126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61267">
              <w:rPr>
                <w:noProof/>
                <w:webHidden/>
              </w:rPr>
              <w:instrText xml:space="preserve"> PAGEREF _Toc389078571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90C2B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1267" w:rsidRDefault="00967BA4">
          <w:pPr>
            <w:pStyle w:val="Spistreci1"/>
            <w:tabs>
              <w:tab w:val="right" w:leader="dot" w:pos="9395"/>
            </w:tabs>
            <w:rPr>
              <w:rFonts w:asciiTheme="minorHAnsi" w:hAnsiTheme="minorHAnsi"/>
              <w:b w:val="0"/>
              <w:noProof/>
              <w:szCs w:val="22"/>
              <w:lang w:val="en-US"/>
            </w:rPr>
          </w:pPr>
          <w:hyperlink w:anchor="_Toc389078572" w:history="1">
            <w:r w:rsidR="00861267" w:rsidRPr="003E28EB">
              <w:rPr>
                <w:rStyle w:val="Hipercze"/>
                <w:noProof/>
              </w:rPr>
              <w:t>Szczegółowa analiza zidentyfikowanego obszaru priorytetowego w Etapie I</w:t>
            </w:r>
            <w:r w:rsidR="0086126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61267">
              <w:rPr>
                <w:noProof/>
                <w:webHidden/>
              </w:rPr>
              <w:instrText xml:space="preserve"> PAGEREF _Toc389078572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90C2B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1267" w:rsidRDefault="00967BA4">
          <w:pPr>
            <w:pStyle w:val="Spistreci2"/>
            <w:tabs>
              <w:tab w:val="right" w:leader="dot" w:pos="9395"/>
            </w:tabs>
            <w:rPr>
              <w:rFonts w:asciiTheme="minorHAnsi" w:hAnsiTheme="minorHAnsi"/>
              <w:noProof/>
              <w:szCs w:val="22"/>
              <w:lang w:val="en-US"/>
            </w:rPr>
          </w:pPr>
          <w:hyperlink w:anchor="_Toc389078577" w:history="1">
            <w:r w:rsidR="004A5F71">
              <w:rPr>
                <w:rStyle w:val="Hipercze"/>
                <w:noProof/>
              </w:rPr>
              <w:t>2.1</w:t>
            </w:r>
            <w:r w:rsidR="00861267" w:rsidRPr="003E28EB">
              <w:rPr>
                <w:rStyle w:val="Hipercze"/>
                <w:noProof/>
              </w:rPr>
              <w:t>. Zachorowalność w obrębie wybranego obszaru</w:t>
            </w:r>
            <w:r w:rsidR="0086126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61267">
              <w:rPr>
                <w:noProof/>
                <w:webHidden/>
              </w:rPr>
              <w:instrText xml:space="preserve"> PAGEREF _Toc389078577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90C2B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  <w:r w:rsidR="004A5F71">
            <w:rPr>
              <w:noProof/>
            </w:rPr>
            <w:t>3</w:t>
          </w:r>
        </w:p>
        <w:p w:rsidR="00861267" w:rsidRDefault="00967BA4">
          <w:pPr>
            <w:pStyle w:val="Spistreci2"/>
            <w:tabs>
              <w:tab w:val="right" w:leader="dot" w:pos="9395"/>
            </w:tabs>
            <w:rPr>
              <w:rFonts w:asciiTheme="minorHAnsi" w:hAnsiTheme="minorHAnsi"/>
              <w:noProof/>
              <w:szCs w:val="22"/>
              <w:lang w:val="en-US"/>
            </w:rPr>
          </w:pPr>
          <w:hyperlink w:anchor="_Toc389078578" w:history="1">
            <w:r w:rsidR="00861267" w:rsidRPr="003E28EB">
              <w:rPr>
                <w:rStyle w:val="Hipercze"/>
                <w:noProof/>
              </w:rPr>
              <w:t>2.</w:t>
            </w:r>
            <w:r w:rsidR="004A5F71">
              <w:rPr>
                <w:rStyle w:val="Hipercze"/>
                <w:noProof/>
              </w:rPr>
              <w:t>2</w:t>
            </w:r>
            <w:r w:rsidR="00861267" w:rsidRPr="003E28EB">
              <w:rPr>
                <w:rStyle w:val="Hipercze"/>
                <w:noProof/>
              </w:rPr>
              <w:t>. Styl życia</w:t>
            </w:r>
            <w:r w:rsidR="0086126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61267">
              <w:rPr>
                <w:noProof/>
                <w:webHidden/>
              </w:rPr>
              <w:instrText xml:space="preserve"> PAGEREF _Toc389078578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90C2B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  <w:r w:rsidR="004A5F71">
            <w:rPr>
              <w:noProof/>
            </w:rPr>
            <w:t>5</w:t>
          </w:r>
        </w:p>
        <w:p w:rsidR="00861267" w:rsidRDefault="00967BA4">
          <w:pPr>
            <w:pStyle w:val="Spistreci1"/>
            <w:tabs>
              <w:tab w:val="right" w:leader="dot" w:pos="9395"/>
            </w:tabs>
            <w:rPr>
              <w:rFonts w:asciiTheme="minorHAnsi" w:hAnsiTheme="minorHAnsi"/>
              <w:b w:val="0"/>
              <w:noProof/>
              <w:szCs w:val="22"/>
              <w:lang w:val="en-US"/>
            </w:rPr>
          </w:pPr>
          <w:hyperlink w:anchor="_Toc389078579" w:history="1">
            <w:r w:rsidR="00861267" w:rsidRPr="003E28EB">
              <w:rPr>
                <w:rStyle w:val="Hipercze"/>
                <w:noProof/>
              </w:rPr>
              <w:t>ETAP III</w:t>
            </w:r>
            <w:r w:rsidR="0086126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61267">
              <w:rPr>
                <w:noProof/>
                <w:webHidden/>
              </w:rPr>
              <w:instrText xml:space="preserve"> PAGEREF _Toc389078579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end"/>
            </w:r>
          </w:hyperlink>
          <w:r w:rsidR="004A5F71">
            <w:rPr>
              <w:noProof/>
            </w:rPr>
            <w:t>17</w:t>
          </w:r>
        </w:p>
        <w:p w:rsidR="00861267" w:rsidRDefault="00967BA4">
          <w:pPr>
            <w:pStyle w:val="Spistreci1"/>
            <w:tabs>
              <w:tab w:val="right" w:leader="dot" w:pos="9395"/>
            </w:tabs>
            <w:rPr>
              <w:rFonts w:asciiTheme="minorHAnsi" w:hAnsiTheme="minorHAnsi"/>
              <w:b w:val="0"/>
              <w:noProof/>
              <w:szCs w:val="22"/>
              <w:lang w:val="en-US"/>
            </w:rPr>
          </w:pPr>
          <w:hyperlink w:anchor="_Toc389078580" w:history="1">
            <w:r w:rsidR="00861267" w:rsidRPr="003E28EB">
              <w:rPr>
                <w:rStyle w:val="Hipercze"/>
                <w:noProof/>
              </w:rPr>
              <w:t>Szczegółowa analiza grup ryzyka i wybór grupy docelowej</w:t>
            </w:r>
            <w:r w:rsidR="00861267">
              <w:rPr>
                <w:noProof/>
                <w:webHidden/>
              </w:rPr>
              <w:tab/>
            </w:r>
          </w:hyperlink>
          <w:r w:rsidR="004A5F71">
            <w:rPr>
              <w:noProof/>
            </w:rPr>
            <w:t>17</w:t>
          </w:r>
        </w:p>
        <w:p w:rsidR="00861267" w:rsidRDefault="00967BA4">
          <w:pPr>
            <w:pStyle w:val="Spistreci1"/>
            <w:tabs>
              <w:tab w:val="right" w:leader="dot" w:pos="9395"/>
            </w:tabs>
            <w:rPr>
              <w:rFonts w:asciiTheme="minorHAnsi" w:hAnsiTheme="minorHAnsi"/>
              <w:b w:val="0"/>
              <w:noProof/>
              <w:szCs w:val="22"/>
              <w:lang w:val="en-US"/>
            </w:rPr>
          </w:pPr>
          <w:hyperlink w:anchor="_Toc389078581" w:history="1">
            <w:r w:rsidR="00861267" w:rsidRPr="003E28EB">
              <w:rPr>
                <w:rStyle w:val="Hipercze"/>
                <w:noProof/>
              </w:rPr>
              <w:t>ETAP IV Podsumowanie</w:t>
            </w:r>
            <w:r w:rsidR="00861267">
              <w:rPr>
                <w:noProof/>
                <w:webHidden/>
              </w:rPr>
              <w:tab/>
            </w:r>
          </w:hyperlink>
          <w:r w:rsidR="004A5F71">
            <w:rPr>
              <w:noProof/>
            </w:rPr>
            <w:t>19</w:t>
          </w:r>
        </w:p>
        <w:p w:rsidR="0034372E" w:rsidRDefault="00967BA4">
          <w:pPr>
            <w:rPr>
              <w:b/>
              <w:bCs/>
            </w:rPr>
          </w:pPr>
          <w:r>
            <w:fldChar w:fldCharType="end"/>
          </w:r>
        </w:p>
      </w:sdtContent>
    </w:sdt>
    <w:p w:rsidR="0034372E" w:rsidRDefault="0034372E" w:rsidP="0034372E">
      <w:r>
        <w:br w:type="page"/>
      </w:r>
    </w:p>
    <w:p w:rsidR="004910F5" w:rsidRPr="00F17F12" w:rsidRDefault="004910F5" w:rsidP="00FA13DE">
      <w:pPr>
        <w:pStyle w:val="Nagwek1"/>
      </w:pPr>
      <w:bookmarkStart w:id="0" w:name="_Toc389078563"/>
      <w:r w:rsidRPr="00F17F12">
        <w:lastRenderedPageBreak/>
        <w:t>ETAP I</w:t>
      </w:r>
      <w:bookmarkEnd w:id="0"/>
    </w:p>
    <w:p w:rsidR="004910F5" w:rsidRPr="00C93AA2" w:rsidRDefault="004910F5" w:rsidP="00FA13DE">
      <w:pPr>
        <w:pStyle w:val="Nagwek1"/>
      </w:pPr>
      <w:bookmarkStart w:id="1" w:name="_Toc389078564"/>
      <w:r w:rsidRPr="00F17F12">
        <w:t>Analiza istotnyc</w:t>
      </w:r>
      <w:r w:rsidR="000E48F9">
        <w:t>h potrzeb zdrowotnych ludności P</w:t>
      </w:r>
      <w:r w:rsidRPr="00F17F12">
        <w:t xml:space="preserve">owiatu </w:t>
      </w:r>
      <w:r w:rsidR="00451749" w:rsidRPr="00F17F12">
        <w:t>Świdwińskiego</w:t>
      </w:r>
      <w:bookmarkEnd w:id="1"/>
    </w:p>
    <w:p w:rsidR="00F17F12" w:rsidRDefault="00F17F12" w:rsidP="00F17F12">
      <w:pPr>
        <w:pStyle w:val="Nagwek2"/>
      </w:pPr>
      <w:bookmarkStart w:id="2" w:name="_Toc389078565"/>
      <w:r>
        <w:t>1. </w:t>
      </w:r>
      <w:r w:rsidRPr="004910F5">
        <w:t>Zakres priorytetowych potrzeb zdrowotnych</w:t>
      </w:r>
      <w:bookmarkEnd w:id="2"/>
    </w:p>
    <w:p w:rsidR="00225B46" w:rsidRDefault="00225B46" w:rsidP="00225B46">
      <w:r w:rsidRPr="004910F5">
        <w:t xml:space="preserve">Zakres priorytetowych potrzeb zdrowotnych </w:t>
      </w:r>
      <w:r>
        <w:t>określono</w:t>
      </w:r>
      <w:r w:rsidRPr="004910F5">
        <w:t xml:space="preserve"> na podstawie analizy dostępnych danych zdrow</w:t>
      </w:r>
      <w:r>
        <w:t xml:space="preserve">otnych, w tym danych </w:t>
      </w:r>
      <w:proofErr w:type="spellStart"/>
      <w:r>
        <w:t>dotyczących</w:t>
      </w:r>
      <w:r>
        <w:rPr>
          <w:rFonts w:cs="Times New Roman"/>
          <w:color w:val="000000" w:themeColor="text1"/>
        </w:rPr>
        <w:t>standaryzowanego</w:t>
      </w:r>
      <w:proofErr w:type="spellEnd"/>
      <w:r>
        <w:rPr>
          <w:rFonts w:cs="Times New Roman"/>
          <w:color w:val="000000" w:themeColor="text1"/>
        </w:rPr>
        <w:t xml:space="preserve"> współczynnika </w:t>
      </w:r>
      <w:r w:rsidRPr="0002722E">
        <w:rPr>
          <w:rFonts w:cs="Times New Roman"/>
          <w:color w:val="000000" w:themeColor="text1"/>
        </w:rPr>
        <w:t>umieralności</w:t>
      </w:r>
      <w:r>
        <w:t xml:space="preserve">(dalej: </w:t>
      </w:r>
      <w:r w:rsidRPr="004910F5">
        <w:t>SMR</w:t>
      </w:r>
      <w:r>
        <w:t xml:space="preserve">) udostępnionego przez </w:t>
      </w:r>
      <w:r w:rsidRPr="004C0DB6">
        <w:t>Narodowy I</w:t>
      </w:r>
      <w:r>
        <w:t xml:space="preserve">nstytut Zdrowia Publicznego – Państwowy Zakład Higieny (dalej: </w:t>
      </w:r>
      <w:proofErr w:type="spellStart"/>
      <w:r>
        <w:t>NIZP-PZH</w:t>
      </w:r>
      <w:proofErr w:type="spellEnd"/>
      <w:r>
        <w:t xml:space="preserve">). </w:t>
      </w:r>
      <w:r w:rsidR="00F86FC2">
        <w:t xml:space="preserve">Przy selekcji istotnych zmiennych skorzystano z rekomendacji wskazanych w podręczniku pod tytułem </w:t>
      </w:r>
      <w:r w:rsidR="00F86FC2" w:rsidRPr="00F86FC2">
        <w:rPr>
          <w:i/>
        </w:rPr>
        <w:t>Narzędzie oceny i analizy priorytetów zdrowotnych w sektorze ochrony zdrowia</w:t>
      </w:r>
      <w:r w:rsidR="00F86FC2">
        <w:rPr>
          <w:rStyle w:val="Odwoanieprzypisudolnego"/>
        </w:rPr>
        <w:footnoteReference w:id="1"/>
      </w:r>
      <w:r w:rsidR="00F86FC2">
        <w:t>.</w:t>
      </w:r>
    </w:p>
    <w:p w:rsidR="00225B46" w:rsidRDefault="00225B46" w:rsidP="00225B46">
      <w:pPr>
        <w:ind w:firstLine="720"/>
      </w:pPr>
      <w:r>
        <w:t>Analizę potrzeb zdrowotnych rozpoczęto od przeprowadzenia analizy PYLL</w:t>
      </w:r>
      <w:r>
        <w:rPr>
          <w:rStyle w:val="Odwoanieprzypisudolnego"/>
        </w:rPr>
        <w:footnoteReference w:id="2"/>
      </w:r>
      <w:r>
        <w:t xml:space="preserve"> dla powiatu świdwińskiego i zestawienia wyników z rezultatami na poziomie wojewódzkim. W tym celu wykorzystano statystyki Głównego Urzędu Statystycznego. Analizę PYLL przeprowadzono przy założeniu, że ś</w:t>
      </w:r>
      <w:r w:rsidRPr="00A0272E">
        <w:t xml:space="preserve">rednia oczekiwana długość życia dla populacji </w:t>
      </w:r>
      <w:r>
        <w:t xml:space="preserve">powiatu </w:t>
      </w:r>
      <w:r w:rsidR="0033288F">
        <w:t>świdwińskiego</w:t>
      </w:r>
      <w:r>
        <w:t xml:space="preserve"> wynosi 76 lat (średnie dla mężczyzn: 72,2 i kobiet: 80,5). Łączna liczba potencjalnie utraconych lat życia w powiecie świdwińskim wyniosła w 2012 r. 5 029 lat i stanowiła 3,6% wszystkich potencjalni utraconych lat życia w województwie zachodniopomorskim (141 255) – por.</w:t>
      </w:r>
      <w:r w:rsidR="00DE707E">
        <w:t xml:space="preserve"> Tabela 1. </w:t>
      </w:r>
      <w:r>
        <w:t xml:space="preserve">Biorąc pod uwagę, iż populacja powiatu świdwińskiego </w:t>
      </w:r>
      <w:r w:rsidR="00685B2F">
        <w:t>stanowi 2,8</w:t>
      </w:r>
      <w:r>
        <w:t>% populacji województwa, ocenia się, że wskaźnik PYLL jest wyższy niż wynikałoby to z wnioskowania statystycznego.</w:t>
      </w:r>
    </w:p>
    <w:p w:rsidR="00685B2F" w:rsidRDefault="00685B2F" w:rsidP="00685B2F">
      <w:pPr>
        <w:pStyle w:val="Legenda"/>
      </w:pPr>
      <w:bookmarkStart w:id="3" w:name="_Ref387477208"/>
      <w:r>
        <w:t xml:space="preserve">Tabela </w:t>
      </w:r>
      <w:r w:rsidR="00967BA4">
        <w:fldChar w:fldCharType="begin"/>
      </w:r>
      <w:r>
        <w:instrText xml:space="preserve"> SEQ Tabela \* ARABIC </w:instrText>
      </w:r>
      <w:r w:rsidR="00967BA4">
        <w:fldChar w:fldCharType="separate"/>
      </w:r>
      <w:r w:rsidR="006C7416">
        <w:rPr>
          <w:noProof/>
        </w:rPr>
        <w:t>1</w:t>
      </w:r>
      <w:r w:rsidR="00967BA4">
        <w:fldChar w:fldCharType="end"/>
      </w:r>
      <w:bookmarkEnd w:id="3"/>
      <w:r>
        <w:t xml:space="preserve"> Analiza PYLL dla powiatu świdwińskiego</w:t>
      </w:r>
    </w:p>
    <w:tbl>
      <w:tblPr>
        <w:tblW w:w="9600" w:type="dxa"/>
        <w:tblInd w:w="93" w:type="dxa"/>
        <w:tblBorders>
          <w:top w:val="single" w:sz="12" w:space="0" w:color="auto"/>
          <w:bottom w:val="single" w:sz="12" w:space="0" w:color="auto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1400"/>
        <w:gridCol w:w="1400"/>
        <w:gridCol w:w="1400"/>
        <w:gridCol w:w="1400"/>
        <w:gridCol w:w="1400"/>
        <w:gridCol w:w="1300"/>
        <w:gridCol w:w="1300"/>
      </w:tblGrid>
      <w:tr w:rsidR="00685B2F" w:rsidRPr="00685B2F" w:rsidTr="00685B2F">
        <w:trPr>
          <w:trHeight w:val="255"/>
        </w:trPr>
        <w:tc>
          <w:tcPr>
            <w:tcW w:w="1400" w:type="dxa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5B2F" w:rsidRPr="00685B2F" w:rsidRDefault="00685B2F" w:rsidP="00685B2F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685B2F">
              <w:rPr>
                <w:rFonts w:eastAsia="Times New Roman" w:cs="Times New Roman"/>
                <w:b/>
                <w:bCs/>
                <w:color w:val="000000"/>
                <w:sz w:val="20"/>
              </w:rPr>
              <w:t>Przedział</w:t>
            </w:r>
          </w:p>
        </w:tc>
        <w:tc>
          <w:tcPr>
            <w:tcW w:w="140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5B2F" w:rsidRPr="00685B2F" w:rsidRDefault="00685B2F" w:rsidP="00685B2F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685B2F">
              <w:rPr>
                <w:rFonts w:eastAsia="Times New Roman" w:cs="Times New Roman"/>
                <w:b/>
                <w:bCs/>
                <w:color w:val="000000"/>
                <w:sz w:val="20"/>
              </w:rPr>
              <w:t>Dolna granica</w:t>
            </w:r>
          </w:p>
        </w:tc>
        <w:tc>
          <w:tcPr>
            <w:tcW w:w="140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5B2F" w:rsidRPr="00685B2F" w:rsidRDefault="00685B2F" w:rsidP="00685B2F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685B2F">
              <w:rPr>
                <w:rFonts w:eastAsia="Times New Roman" w:cs="Times New Roman"/>
                <w:b/>
                <w:bCs/>
                <w:color w:val="000000"/>
                <w:sz w:val="20"/>
              </w:rPr>
              <w:t>Górna granica</w:t>
            </w:r>
          </w:p>
        </w:tc>
        <w:tc>
          <w:tcPr>
            <w:tcW w:w="140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5B2F" w:rsidRPr="00685B2F" w:rsidRDefault="00685B2F" w:rsidP="00685B2F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685B2F">
              <w:rPr>
                <w:rFonts w:eastAsia="Times New Roman" w:cs="Times New Roman"/>
                <w:b/>
                <w:bCs/>
                <w:color w:val="000000"/>
                <w:sz w:val="20"/>
              </w:rPr>
              <w:t>Średni wiek</w:t>
            </w:r>
          </w:p>
        </w:tc>
        <w:tc>
          <w:tcPr>
            <w:tcW w:w="140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5B2F" w:rsidRPr="00685B2F" w:rsidRDefault="00685B2F" w:rsidP="00685B2F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685B2F">
              <w:rPr>
                <w:rFonts w:eastAsia="Times New Roman" w:cs="Times New Roman"/>
                <w:b/>
                <w:bCs/>
                <w:color w:val="000000"/>
                <w:sz w:val="20"/>
              </w:rPr>
              <w:t>LL</w:t>
            </w:r>
          </w:p>
        </w:tc>
        <w:tc>
          <w:tcPr>
            <w:tcW w:w="130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5B2F" w:rsidRPr="00685B2F" w:rsidRDefault="00685B2F" w:rsidP="00685B2F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685B2F">
              <w:rPr>
                <w:rFonts w:eastAsia="Times New Roman" w:cs="Times New Roman"/>
                <w:b/>
                <w:bCs/>
                <w:color w:val="000000"/>
                <w:sz w:val="20"/>
              </w:rPr>
              <w:t>Liczba zgonów</w:t>
            </w:r>
          </w:p>
        </w:tc>
        <w:tc>
          <w:tcPr>
            <w:tcW w:w="1300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B2F" w:rsidRPr="00685B2F" w:rsidRDefault="00685B2F" w:rsidP="00685B2F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685B2F">
              <w:rPr>
                <w:rFonts w:eastAsia="Times New Roman" w:cs="Times New Roman"/>
                <w:b/>
                <w:bCs/>
                <w:color w:val="000000"/>
                <w:sz w:val="20"/>
              </w:rPr>
              <w:t>PYLL</w:t>
            </w:r>
          </w:p>
        </w:tc>
      </w:tr>
      <w:tr w:rsidR="00685B2F" w:rsidRPr="00685B2F" w:rsidTr="00685B2F">
        <w:trPr>
          <w:trHeight w:val="255"/>
        </w:trPr>
        <w:tc>
          <w:tcPr>
            <w:tcW w:w="14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B2F" w:rsidRPr="00685B2F" w:rsidRDefault="00685B2F" w:rsidP="00685B2F">
            <w:pPr>
              <w:spacing w:before="40" w:after="40" w:line="240" w:lineRule="auto"/>
              <w:jc w:val="left"/>
              <w:rPr>
                <w:rFonts w:eastAsia="Times New Roman" w:cs="Times New Roman"/>
                <w:color w:val="000000"/>
                <w:sz w:val="20"/>
              </w:rPr>
            </w:pPr>
            <w:r w:rsidRPr="00685B2F">
              <w:rPr>
                <w:rFonts w:eastAsia="Times New Roman" w:cs="Times New Roman"/>
                <w:color w:val="000000"/>
                <w:sz w:val="20"/>
              </w:rPr>
              <w:lastRenderedPageBreak/>
              <w:t>0-4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B2F" w:rsidRPr="00685B2F" w:rsidRDefault="00685B2F" w:rsidP="00685B2F">
            <w:pPr>
              <w:spacing w:before="40" w:after="4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685B2F">
              <w:rPr>
                <w:rFonts w:eastAsia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B2F" w:rsidRPr="00685B2F" w:rsidRDefault="00685B2F" w:rsidP="00685B2F">
            <w:pPr>
              <w:spacing w:before="40" w:after="4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685B2F">
              <w:rPr>
                <w:rFonts w:eastAsia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B2F" w:rsidRPr="00685B2F" w:rsidRDefault="00685B2F" w:rsidP="00685B2F">
            <w:pPr>
              <w:spacing w:before="40" w:after="4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685B2F">
              <w:rPr>
                <w:rFonts w:eastAsia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B2F" w:rsidRPr="00685B2F" w:rsidRDefault="00685B2F" w:rsidP="00685B2F">
            <w:pPr>
              <w:spacing w:before="40" w:after="4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685B2F">
              <w:rPr>
                <w:rFonts w:eastAsia="Times New Roman" w:cs="Times New Roman"/>
                <w:color w:val="000000"/>
                <w:sz w:val="20"/>
              </w:rPr>
              <w:t>74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B2F" w:rsidRPr="00685B2F" w:rsidRDefault="00685B2F" w:rsidP="00685B2F">
            <w:pPr>
              <w:spacing w:before="40" w:after="4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685B2F">
              <w:rPr>
                <w:rFonts w:eastAsia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B2F" w:rsidRPr="00685B2F" w:rsidRDefault="00685B2F" w:rsidP="00685B2F">
            <w:pPr>
              <w:spacing w:before="40" w:after="4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685B2F">
              <w:rPr>
                <w:rFonts w:eastAsia="Times New Roman" w:cs="Times New Roman"/>
                <w:color w:val="000000"/>
                <w:sz w:val="20"/>
              </w:rPr>
              <w:t>296</w:t>
            </w:r>
          </w:p>
        </w:tc>
      </w:tr>
      <w:tr w:rsidR="00685B2F" w:rsidRPr="00685B2F" w:rsidTr="00685B2F">
        <w:trPr>
          <w:trHeight w:val="255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85B2F" w:rsidRPr="00685B2F" w:rsidRDefault="00685B2F" w:rsidP="00685B2F">
            <w:pPr>
              <w:spacing w:before="40" w:after="40" w:line="240" w:lineRule="auto"/>
              <w:jc w:val="left"/>
              <w:rPr>
                <w:rFonts w:eastAsia="Times New Roman" w:cs="Times New Roman"/>
                <w:color w:val="000000"/>
                <w:sz w:val="20"/>
              </w:rPr>
            </w:pPr>
            <w:r w:rsidRPr="00685B2F">
              <w:rPr>
                <w:rFonts w:eastAsia="Times New Roman" w:cs="Times New Roman"/>
                <w:color w:val="000000"/>
                <w:sz w:val="20"/>
              </w:rPr>
              <w:t>5-9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85B2F" w:rsidRPr="00685B2F" w:rsidRDefault="00685B2F" w:rsidP="00685B2F">
            <w:pPr>
              <w:spacing w:before="40" w:after="4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685B2F">
              <w:rPr>
                <w:rFonts w:eastAsia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85B2F" w:rsidRPr="00685B2F" w:rsidRDefault="00685B2F" w:rsidP="00685B2F">
            <w:pPr>
              <w:spacing w:before="40" w:after="4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685B2F">
              <w:rPr>
                <w:rFonts w:eastAsia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85B2F" w:rsidRPr="00685B2F" w:rsidRDefault="00685B2F" w:rsidP="00685B2F">
            <w:pPr>
              <w:spacing w:before="40" w:after="4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685B2F">
              <w:rPr>
                <w:rFonts w:eastAsia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85B2F" w:rsidRPr="00685B2F" w:rsidRDefault="00685B2F" w:rsidP="00685B2F">
            <w:pPr>
              <w:spacing w:before="40" w:after="4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685B2F">
              <w:rPr>
                <w:rFonts w:eastAsia="Times New Roman" w:cs="Times New Roman"/>
                <w:color w:val="000000"/>
                <w:sz w:val="20"/>
              </w:rPr>
              <w:t>69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85B2F" w:rsidRPr="00685B2F" w:rsidRDefault="00685B2F" w:rsidP="00685B2F">
            <w:pPr>
              <w:spacing w:before="40" w:after="4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685B2F">
              <w:rPr>
                <w:rFonts w:eastAsia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85B2F" w:rsidRPr="00685B2F" w:rsidRDefault="00685B2F" w:rsidP="00685B2F">
            <w:pPr>
              <w:spacing w:before="40" w:after="4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685B2F">
              <w:rPr>
                <w:rFonts w:eastAsia="Times New Roman" w:cs="Times New Roman"/>
                <w:color w:val="000000"/>
                <w:sz w:val="20"/>
              </w:rPr>
              <w:t>0</w:t>
            </w:r>
          </w:p>
        </w:tc>
      </w:tr>
      <w:tr w:rsidR="00685B2F" w:rsidRPr="00685B2F" w:rsidTr="00685B2F">
        <w:trPr>
          <w:trHeight w:val="255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85B2F" w:rsidRPr="00685B2F" w:rsidRDefault="00685B2F" w:rsidP="00685B2F">
            <w:pPr>
              <w:spacing w:before="40" w:after="40" w:line="240" w:lineRule="auto"/>
              <w:jc w:val="left"/>
              <w:rPr>
                <w:rFonts w:eastAsia="Times New Roman" w:cs="Times New Roman"/>
                <w:color w:val="000000"/>
                <w:sz w:val="20"/>
              </w:rPr>
            </w:pPr>
            <w:r w:rsidRPr="00685B2F">
              <w:rPr>
                <w:rFonts w:eastAsia="Times New Roman" w:cs="Times New Roman"/>
                <w:color w:val="000000"/>
                <w:sz w:val="20"/>
              </w:rPr>
              <w:t>10-14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85B2F" w:rsidRPr="00685B2F" w:rsidRDefault="00685B2F" w:rsidP="00685B2F">
            <w:pPr>
              <w:spacing w:before="40" w:after="4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685B2F">
              <w:rPr>
                <w:rFonts w:eastAsia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85B2F" w:rsidRPr="00685B2F" w:rsidRDefault="00685B2F" w:rsidP="00685B2F">
            <w:pPr>
              <w:spacing w:before="40" w:after="4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685B2F">
              <w:rPr>
                <w:rFonts w:eastAsia="Times New Roman" w:cs="Times New Roman"/>
                <w:color w:val="000000"/>
                <w:sz w:val="20"/>
              </w:rPr>
              <w:t>14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85B2F" w:rsidRPr="00685B2F" w:rsidRDefault="00685B2F" w:rsidP="00685B2F">
            <w:pPr>
              <w:spacing w:before="40" w:after="4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685B2F">
              <w:rPr>
                <w:rFonts w:eastAsia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85B2F" w:rsidRPr="00685B2F" w:rsidRDefault="00685B2F" w:rsidP="00685B2F">
            <w:pPr>
              <w:spacing w:before="40" w:after="4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685B2F">
              <w:rPr>
                <w:rFonts w:eastAsia="Times New Roman" w:cs="Times New Roman"/>
                <w:color w:val="000000"/>
                <w:sz w:val="20"/>
              </w:rPr>
              <w:t>64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85B2F" w:rsidRPr="00685B2F" w:rsidRDefault="00685B2F" w:rsidP="00685B2F">
            <w:pPr>
              <w:spacing w:before="40" w:after="4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685B2F">
              <w:rPr>
                <w:rFonts w:eastAsia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85B2F" w:rsidRPr="00685B2F" w:rsidRDefault="00685B2F" w:rsidP="00685B2F">
            <w:pPr>
              <w:spacing w:before="40" w:after="4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685B2F">
              <w:rPr>
                <w:rFonts w:eastAsia="Times New Roman" w:cs="Times New Roman"/>
                <w:color w:val="000000"/>
                <w:sz w:val="20"/>
              </w:rPr>
              <w:t>0</w:t>
            </w:r>
          </w:p>
        </w:tc>
      </w:tr>
      <w:tr w:rsidR="00685B2F" w:rsidRPr="00685B2F" w:rsidTr="00685B2F">
        <w:trPr>
          <w:trHeight w:val="255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85B2F" w:rsidRPr="00685B2F" w:rsidRDefault="00685B2F" w:rsidP="00685B2F">
            <w:pPr>
              <w:spacing w:before="40" w:after="40" w:line="240" w:lineRule="auto"/>
              <w:jc w:val="left"/>
              <w:rPr>
                <w:rFonts w:eastAsia="Times New Roman" w:cs="Times New Roman"/>
                <w:color w:val="000000"/>
                <w:sz w:val="20"/>
              </w:rPr>
            </w:pPr>
            <w:r w:rsidRPr="00685B2F">
              <w:rPr>
                <w:rFonts w:eastAsia="Times New Roman" w:cs="Times New Roman"/>
                <w:color w:val="000000"/>
                <w:sz w:val="20"/>
              </w:rPr>
              <w:t>15-19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85B2F" w:rsidRPr="00685B2F" w:rsidRDefault="00685B2F" w:rsidP="00685B2F">
            <w:pPr>
              <w:spacing w:before="40" w:after="4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685B2F">
              <w:rPr>
                <w:rFonts w:eastAsia="Times New Roman" w:cs="Times New Roman"/>
                <w:color w:val="000000"/>
                <w:sz w:val="20"/>
              </w:rPr>
              <w:t>15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85B2F" w:rsidRPr="00685B2F" w:rsidRDefault="00685B2F" w:rsidP="00685B2F">
            <w:pPr>
              <w:spacing w:before="40" w:after="4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685B2F">
              <w:rPr>
                <w:rFonts w:eastAsia="Times New Roman" w:cs="Times New Roman"/>
                <w:color w:val="000000"/>
                <w:sz w:val="20"/>
              </w:rPr>
              <w:t>19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85B2F" w:rsidRPr="00685B2F" w:rsidRDefault="00685B2F" w:rsidP="00685B2F">
            <w:pPr>
              <w:spacing w:before="40" w:after="4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685B2F">
              <w:rPr>
                <w:rFonts w:eastAsia="Times New Roman" w:cs="Times New Roman"/>
                <w:color w:val="000000"/>
                <w:sz w:val="20"/>
              </w:rPr>
              <w:t>17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85B2F" w:rsidRPr="00685B2F" w:rsidRDefault="00685B2F" w:rsidP="00685B2F">
            <w:pPr>
              <w:spacing w:before="40" w:after="4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685B2F">
              <w:rPr>
                <w:rFonts w:eastAsia="Times New Roman" w:cs="Times New Roman"/>
                <w:color w:val="000000"/>
                <w:sz w:val="20"/>
              </w:rPr>
              <w:t>59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85B2F" w:rsidRPr="00685B2F" w:rsidRDefault="00685B2F" w:rsidP="00685B2F">
            <w:pPr>
              <w:spacing w:before="40" w:after="4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685B2F">
              <w:rPr>
                <w:rFonts w:eastAsia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85B2F" w:rsidRPr="00685B2F" w:rsidRDefault="00685B2F" w:rsidP="00685B2F">
            <w:pPr>
              <w:spacing w:before="40" w:after="4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685B2F">
              <w:rPr>
                <w:rFonts w:eastAsia="Times New Roman" w:cs="Times New Roman"/>
                <w:color w:val="000000"/>
                <w:sz w:val="20"/>
              </w:rPr>
              <w:t>118</w:t>
            </w:r>
          </w:p>
        </w:tc>
      </w:tr>
      <w:tr w:rsidR="00685B2F" w:rsidRPr="00685B2F" w:rsidTr="00685B2F">
        <w:trPr>
          <w:trHeight w:val="255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85B2F" w:rsidRPr="00685B2F" w:rsidRDefault="00685B2F" w:rsidP="00685B2F">
            <w:pPr>
              <w:spacing w:before="40" w:after="40" w:line="240" w:lineRule="auto"/>
              <w:jc w:val="left"/>
              <w:rPr>
                <w:rFonts w:eastAsia="Times New Roman" w:cs="Times New Roman"/>
                <w:color w:val="000000"/>
                <w:sz w:val="20"/>
              </w:rPr>
            </w:pPr>
            <w:r w:rsidRPr="00685B2F">
              <w:rPr>
                <w:rFonts w:eastAsia="Times New Roman" w:cs="Times New Roman"/>
                <w:color w:val="000000"/>
                <w:sz w:val="20"/>
              </w:rPr>
              <w:t>20-24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85B2F" w:rsidRPr="00685B2F" w:rsidRDefault="00685B2F" w:rsidP="00685B2F">
            <w:pPr>
              <w:spacing w:before="40" w:after="4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685B2F">
              <w:rPr>
                <w:rFonts w:eastAsia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85B2F" w:rsidRPr="00685B2F" w:rsidRDefault="00685B2F" w:rsidP="00685B2F">
            <w:pPr>
              <w:spacing w:before="40" w:after="4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685B2F">
              <w:rPr>
                <w:rFonts w:eastAsia="Times New Roman" w:cs="Times New Roman"/>
                <w:color w:val="000000"/>
                <w:sz w:val="20"/>
              </w:rPr>
              <w:t>24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85B2F" w:rsidRPr="00685B2F" w:rsidRDefault="00685B2F" w:rsidP="00685B2F">
            <w:pPr>
              <w:spacing w:before="40" w:after="4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685B2F">
              <w:rPr>
                <w:rFonts w:eastAsia="Times New Roman" w:cs="Times New Roman"/>
                <w:color w:val="000000"/>
                <w:sz w:val="20"/>
              </w:rPr>
              <w:t>22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85B2F" w:rsidRPr="00685B2F" w:rsidRDefault="00685B2F" w:rsidP="00685B2F">
            <w:pPr>
              <w:spacing w:before="40" w:after="4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685B2F">
              <w:rPr>
                <w:rFonts w:eastAsia="Times New Roman" w:cs="Times New Roman"/>
                <w:color w:val="000000"/>
                <w:sz w:val="20"/>
              </w:rPr>
              <w:t>54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85B2F" w:rsidRPr="00685B2F" w:rsidRDefault="00685B2F" w:rsidP="00685B2F">
            <w:pPr>
              <w:spacing w:before="40" w:after="4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685B2F">
              <w:rPr>
                <w:rFonts w:eastAsia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85B2F" w:rsidRPr="00685B2F" w:rsidRDefault="00685B2F" w:rsidP="00685B2F">
            <w:pPr>
              <w:spacing w:before="40" w:after="4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685B2F">
              <w:rPr>
                <w:rFonts w:eastAsia="Times New Roman" w:cs="Times New Roman"/>
                <w:color w:val="000000"/>
                <w:sz w:val="20"/>
              </w:rPr>
              <w:t>324</w:t>
            </w:r>
          </w:p>
        </w:tc>
      </w:tr>
      <w:tr w:rsidR="00685B2F" w:rsidRPr="00685B2F" w:rsidTr="00685B2F">
        <w:trPr>
          <w:trHeight w:val="255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85B2F" w:rsidRPr="00685B2F" w:rsidRDefault="00685B2F" w:rsidP="00685B2F">
            <w:pPr>
              <w:spacing w:before="40" w:after="40" w:line="240" w:lineRule="auto"/>
              <w:jc w:val="left"/>
              <w:rPr>
                <w:rFonts w:eastAsia="Times New Roman" w:cs="Times New Roman"/>
                <w:color w:val="000000"/>
                <w:sz w:val="20"/>
              </w:rPr>
            </w:pPr>
            <w:r w:rsidRPr="00685B2F">
              <w:rPr>
                <w:rFonts w:eastAsia="Times New Roman" w:cs="Times New Roman"/>
                <w:color w:val="000000"/>
                <w:sz w:val="20"/>
              </w:rPr>
              <w:t>25-29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85B2F" w:rsidRPr="00685B2F" w:rsidRDefault="00685B2F" w:rsidP="00685B2F">
            <w:pPr>
              <w:spacing w:before="40" w:after="4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685B2F">
              <w:rPr>
                <w:rFonts w:eastAsia="Times New Roman" w:cs="Times New Roman"/>
                <w:color w:val="000000"/>
                <w:sz w:val="20"/>
              </w:rPr>
              <w:t>25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85B2F" w:rsidRPr="00685B2F" w:rsidRDefault="00685B2F" w:rsidP="00685B2F">
            <w:pPr>
              <w:spacing w:before="40" w:after="4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685B2F">
              <w:rPr>
                <w:rFonts w:eastAsia="Times New Roman" w:cs="Times New Roman"/>
                <w:color w:val="000000"/>
                <w:sz w:val="20"/>
              </w:rPr>
              <w:t>29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85B2F" w:rsidRPr="00685B2F" w:rsidRDefault="00685B2F" w:rsidP="00685B2F">
            <w:pPr>
              <w:spacing w:before="40" w:after="4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685B2F">
              <w:rPr>
                <w:rFonts w:eastAsia="Times New Roman" w:cs="Times New Roman"/>
                <w:color w:val="000000"/>
                <w:sz w:val="20"/>
              </w:rPr>
              <w:t>27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85B2F" w:rsidRPr="00685B2F" w:rsidRDefault="00685B2F" w:rsidP="00685B2F">
            <w:pPr>
              <w:spacing w:before="40" w:after="4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685B2F">
              <w:rPr>
                <w:rFonts w:eastAsia="Times New Roman" w:cs="Times New Roman"/>
                <w:color w:val="000000"/>
                <w:sz w:val="20"/>
              </w:rPr>
              <w:t>49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85B2F" w:rsidRPr="00685B2F" w:rsidRDefault="00685B2F" w:rsidP="00685B2F">
            <w:pPr>
              <w:spacing w:before="40" w:after="4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685B2F">
              <w:rPr>
                <w:rFonts w:eastAsia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85B2F" w:rsidRPr="00685B2F" w:rsidRDefault="00685B2F" w:rsidP="00685B2F">
            <w:pPr>
              <w:spacing w:before="40" w:after="4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685B2F">
              <w:rPr>
                <w:rFonts w:eastAsia="Times New Roman" w:cs="Times New Roman"/>
                <w:color w:val="000000"/>
                <w:sz w:val="20"/>
              </w:rPr>
              <w:t>98</w:t>
            </w:r>
          </w:p>
        </w:tc>
      </w:tr>
      <w:tr w:rsidR="00685B2F" w:rsidRPr="00685B2F" w:rsidTr="00685B2F">
        <w:trPr>
          <w:trHeight w:val="255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85B2F" w:rsidRPr="00685B2F" w:rsidRDefault="00685B2F" w:rsidP="00685B2F">
            <w:pPr>
              <w:spacing w:before="40" w:after="40" w:line="240" w:lineRule="auto"/>
              <w:jc w:val="left"/>
              <w:rPr>
                <w:rFonts w:eastAsia="Times New Roman" w:cs="Times New Roman"/>
                <w:color w:val="000000"/>
                <w:sz w:val="20"/>
              </w:rPr>
            </w:pPr>
            <w:r w:rsidRPr="00685B2F">
              <w:rPr>
                <w:rFonts w:eastAsia="Times New Roman" w:cs="Times New Roman"/>
                <w:color w:val="000000"/>
                <w:sz w:val="20"/>
              </w:rPr>
              <w:t>30-34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85B2F" w:rsidRPr="00685B2F" w:rsidRDefault="00685B2F" w:rsidP="00685B2F">
            <w:pPr>
              <w:spacing w:before="40" w:after="4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685B2F">
              <w:rPr>
                <w:rFonts w:eastAsia="Times New Roman" w:cs="Times New Roman"/>
                <w:color w:val="000000"/>
                <w:sz w:val="20"/>
              </w:rPr>
              <w:t>30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85B2F" w:rsidRPr="00685B2F" w:rsidRDefault="00685B2F" w:rsidP="00685B2F">
            <w:pPr>
              <w:spacing w:before="40" w:after="4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685B2F">
              <w:rPr>
                <w:rFonts w:eastAsia="Times New Roman" w:cs="Times New Roman"/>
                <w:color w:val="000000"/>
                <w:sz w:val="20"/>
              </w:rPr>
              <w:t>34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85B2F" w:rsidRPr="00685B2F" w:rsidRDefault="00685B2F" w:rsidP="00685B2F">
            <w:pPr>
              <w:spacing w:before="40" w:after="4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685B2F">
              <w:rPr>
                <w:rFonts w:eastAsia="Times New Roman" w:cs="Times New Roman"/>
                <w:color w:val="000000"/>
                <w:sz w:val="20"/>
              </w:rPr>
              <w:t>32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85B2F" w:rsidRPr="00685B2F" w:rsidRDefault="00685B2F" w:rsidP="00685B2F">
            <w:pPr>
              <w:spacing w:before="40" w:after="4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685B2F">
              <w:rPr>
                <w:rFonts w:eastAsia="Times New Roman" w:cs="Times New Roman"/>
                <w:color w:val="000000"/>
                <w:sz w:val="20"/>
              </w:rPr>
              <w:t>44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85B2F" w:rsidRPr="00685B2F" w:rsidRDefault="00685B2F" w:rsidP="00685B2F">
            <w:pPr>
              <w:spacing w:before="40" w:after="4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685B2F">
              <w:rPr>
                <w:rFonts w:eastAsia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85B2F" w:rsidRPr="00685B2F" w:rsidRDefault="00685B2F" w:rsidP="00685B2F">
            <w:pPr>
              <w:spacing w:before="40" w:after="4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685B2F">
              <w:rPr>
                <w:rFonts w:eastAsia="Times New Roman" w:cs="Times New Roman"/>
                <w:color w:val="000000"/>
                <w:sz w:val="20"/>
              </w:rPr>
              <w:t>264</w:t>
            </w:r>
          </w:p>
        </w:tc>
      </w:tr>
      <w:tr w:rsidR="00685B2F" w:rsidRPr="00685B2F" w:rsidTr="00685B2F">
        <w:trPr>
          <w:trHeight w:val="255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85B2F" w:rsidRPr="00685B2F" w:rsidRDefault="00685B2F" w:rsidP="00685B2F">
            <w:pPr>
              <w:spacing w:before="40" w:after="40" w:line="240" w:lineRule="auto"/>
              <w:jc w:val="left"/>
              <w:rPr>
                <w:rFonts w:eastAsia="Times New Roman" w:cs="Times New Roman"/>
                <w:color w:val="000000"/>
                <w:sz w:val="20"/>
              </w:rPr>
            </w:pPr>
            <w:r w:rsidRPr="00685B2F">
              <w:rPr>
                <w:rFonts w:eastAsia="Times New Roman" w:cs="Times New Roman"/>
                <w:color w:val="000000"/>
                <w:sz w:val="20"/>
              </w:rPr>
              <w:t>35-39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85B2F" w:rsidRPr="00685B2F" w:rsidRDefault="00685B2F" w:rsidP="00685B2F">
            <w:pPr>
              <w:spacing w:before="40" w:after="4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685B2F">
              <w:rPr>
                <w:rFonts w:eastAsia="Times New Roman" w:cs="Times New Roman"/>
                <w:color w:val="000000"/>
                <w:sz w:val="20"/>
              </w:rPr>
              <w:t>35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85B2F" w:rsidRPr="00685B2F" w:rsidRDefault="00685B2F" w:rsidP="00685B2F">
            <w:pPr>
              <w:spacing w:before="40" w:after="4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685B2F">
              <w:rPr>
                <w:rFonts w:eastAsia="Times New Roman" w:cs="Times New Roman"/>
                <w:color w:val="000000"/>
                <w:sz w:val="20"/>
              </w:rPr>
              <w:t>39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85B2F" w:rsidRPr="00685B2F" w:rsidRDefault="00685B2F" w:rsidP="00685B2F">
            <w:pPr>
              <w:spacing w:before="40" w:after="4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685B2F">
              <w:rPr>
                <w:rFonts w:eastAsia="Times New Roman" w:cs="Times New Roman"/>
                <w:color w:val="000000"/>
                <w:sz w:val="20"/>
              </w:rPr>
              <w:t>37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85B2F" w:rsidRPr="00685B2F" w:rsidRDefault="00685B2F" w:rsidP="00685B2F">
            <w:pPr>
              <w:spacing w:before="40" w:after="4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685B2F">
              <w:rPr>
                <w:rFonts w:eastAsia="Times New Roman" w:cs="Times New Roman"/>
                <w:color w:val="000000"/>
                <w:sz w:val="20"/>
              </w:rPr>
              <w:t>39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85B2F" w:rsidRPr="00685B2F" w:rsidRDefault="00685B2F" w:rsidP="00685B2F">
            <w:pPr>
              <w:spacing w:before="40" w:after="4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685B2F">
              <w:rPr>
                <w:rFonts w:eastAsia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85B2F" w:rsidRPr="00685B2F" w:rsidRDefault="00685B2F" w:rsidP="00685B2F">
            <w:pPr>
              <w:spacing w:before="40" w:after="4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685B2F">
              <w:rPr>
                <w:rFonts w:eastAsia="Times New Roman" w:cs="Times New Roman"/>
                <w:color w:val="000000"/>
                <w:sz w:val="20"/>
              </w:rPr>
              <w:t>234</w:t>
            </w:r>
          </w:p>
        </w:tc>
      </w:tr>
      <w:tr w:rsidR="00685B2F" w:rsidRPr="00685B2F" w:rsidTr="00963CE8">
        <w:trPr>
          <w:trHeight w:val="255"/>
        </w:trPr>
        <w:tc>
          <w:tcPr>
            <w:tcW w:w="1400" w:type="dxa"/>
            <w:tcBorders>
              <w:bottom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685B2F" w:rsidRPr="00685B2F" w:rsidRDefault="00685B2F" w:rsidP="00685B2F">
            <w:pPr>
              <w:spacing w:before="40" w:after="40" w:line="240" w:lineRule="auto"/>
              <w:jc w:val="left"/>
              <w:rPr>
                <w:rFonts w:eastAsia="Times New Roman" w:cs="Times New Roman"/>
                <w:color w:val="000000"/>
                <w:sz w:val="20"/>
              </w:rPr>
            </w:pPr>
            <w:r w:rsidRPr="00685B2F">
              <w:rPr>
                <w:rFonts w:eastAsia="Times New Roman" w:cs="Times New Roman"/>
                <w:color w:val="000000"/>
                <w:sz w:val="20"/>
              </w:rPr>
              <w:t>40-44</w:t>
            </w:r>
          </w:p>
        </w:tc>
        <w:tc>
          <w:tcPr>
            <w:tcW w:w="1400" w:type="dxa"/>
            <w:tcBorders>
              <w:bottom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685B2F" w:rsidRPr="00685B2F" w:rsidRDefault="00685B2F" w:rsidP="00685B2F">
            <w:pPr>
              <w:spacing w:before="40" w:after="4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685B2F">
              <w:rPr>
                <w:rFonts w:eastAsia="Times New Roman" w:cs="Times New Roman"/>
                <w:color w:val="000000"/>
                <w:sz w:val="20"/>
              </w:rPr>
              <w:t>40</w:t>
            </w:r>
          </w:p>
        </w:tc>
        <w:tc>
          <w:tcPr>
            <w:tcW w:w="1400" w:type="dxa"/>
            <w:tcBorders>
              <w:bottom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685B2F" w:rsidRPr="00685B2F" w:rsidRDefault="00685B2F" w:rsidP="00685B2F">
            <w:pPr>
              <w:spacing w:before="40" w:after="4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685B2F">
              <w:rPr>
                <w:rFonts w:eastAsia="Times New Roman" w:cs="Times New Roman"/>
                <w:color w:val="000000"/>
                <w:sz w:val="20"/>
              </w:rPr>
              <w:t>44</w:t>
            </w:r>
          </w:p>
        </w:tc>
        <w:tc>
          <w:tcPr>
            <w:tcW w:w="1400" w:type="dxa"/>
            <w:tcBorders>
              <w:bottom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685B2F" w:rsidRPr="00685B2F" w:rsidRDefault="00685B2F" w:rsidP="00685B2F">
            <w:pPr>
              <w:spacing w:before="40" w:after="4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685B2F">
              <w:rPr>
                <w:rFonts w:eastAsia="Times New Roman" w:cs="Times New Roman"/>
                <w:color w:val="000000"/>
                <w:sz w:val="20"/>
              </w:rPr>
              <w:t>42</w:t>
            </w:r>
          </w:p>
        </w:tc>
        <w:tc>
          <w:tcPr>
            <w:tcW w:w="1400" w:type="dxa"/>
            <w:tcBorders>
              <w:bottom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685B2F" w:rsidRPr="00685B2F" w:rsidRDefault="00685B2F" w:rsidP="00685B2F">
            <w:pPr>
              <w:spacing w:before="40" w:after="4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685B2F">
              <w:rPr>
                <w:rFonts w:eastAsia="Times New Roman" w:cs="Times New Roman"/>
                <w:color w:val="000000"/>
                <w:sz w:val="20"/>
              </w:rPr>
              <w:t>34</w:t>
            </w:r>
          </w:p>
        </w:tc>
        <w:tc>
          <w:tcPr>
            <w:tcW w:w="1300" w:type="dxa"/>
            <w:tcBorders>
              <w:bottom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685B2F" w:rsidRPr="00685B2F" w:rsidRDefault="00685B2F" w:rsidP="00685B2F">
            <w:pPr>
              <w:spacing w:before="40" w:after="4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685B2F">
              <w:rPr>
                <w:rFonts w:eastAsia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1300" w:type="dxa"/>
            <w:tcBorders>
              <w:bottom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685B2F" w:rsidRPr="00685B2F" w:rsidRDefault="00685B2F" w:rsidP="00685B2F">
            <w:pPr>
              <w:spacing w:before="40" w:after="4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685B2F">
              <w:rPr>
                <w:rFonts w:eastAsia="Times New Roman" w:cs="Times New Roman"/>
                <w:color w:val="000000"/>
                <w:sz w:val="20"/>
              </w:rPr>
              <w:t>170</w:t>
            </w:r>
          </w:p>
        </w:tc>
      </w:tr>
      <w:tr w:rsidR="00685B2F" w:rsidRPr="00685B2F" w:rsidTr="00963CE8">
        <w:trPr>
          <w:trHeight w:val="255"/>
        </w:trPr>
        <w:tc>
          <w:tcPr>
            <w:tcW w:w="140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685B2F" w:rsidRPr="00685B2F" w:rsidRDefault="00685B2F" w:rsidP="00685B2F">
            <w:pPr>
              <w:spacing w:before="40" w:after="40" w:line="240" w:lineRule="auto"/>
              <w:jc w:val="left"/>
              <w:rPr>
                <w:rFonts w:eastAsia="Times New Roman" w:cs="Times New Roman"/>
                <w:color w:val="000000"/>
                <w:sz w:val="20"/>
              </w:rPr>
            </w:pPr>
            <w:r w:rsidRPr="00685B2F">
              <w:rPr>
                <w:rFonts w:eastAsia="Times New Roman" w:cs="Times New Roman"/>
                <w:color w:val="000000"/>
                <w:sz w:val="20"/>
              </w:rPr>
              <w:t>45-49</w:t>
            </w:r>
          </w:p>
        </w:tc>
        <w:tc>
          <w:tcPr>
            <w:tcW w:w="140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685B2F" w:rsidRPr="00685B2F" w:rsidRDefault="00685B2F" w:rsidP="00685B2F">
            <w:pPr>
              <w:spacing w:before="40" w:after="4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685B2F">
              <w:rPr>
                <w:rFonts w:eastAsia="Times New Roman" w:cs="Times New Roman"/>
                <w:color w:val="000000"/>
                <w:sz w:val="20"/>
              </w:rPr>
              <w:t>45</w:t>
            </w:r>
          </w:p>
        </w:tc>
        <w:tc>
          <w:tcPr>
            <w:tcW w:w="140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685B2F" w:rsidRPr="00685B2F" w:rsidRDefault="00685B2F" w:rsidP="00685B2F">
            <w:pPr>
              <w:spacing w:before="40" w:after="4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685B2F">
              <w:rPr>
                <w:rFonts w:eastAsia="Times New Roman" w:cs="Times New Roman"/>
                <w:color w:val="000000"/>
                <w:sz w:val="20"/>
              </w:rPr>
              <w:t>49</w:t>
            </w:r>
          </w:p>
        </w:tc>
        <w:tc>
          <w:tcPr>
            <w:tcW w:w="140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685B2F" w:rsidRPr="00685B2F" w:rsidRDefault="00685B2F" w:rsidP="00685B2F">
            <w:pPr>
              <w:spacing w:before="40" w:after="4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685B2F">
              <w:rPr>
                <w:rFonts w:eastAsia="Times New Roman" w:cs="Times New Roman"/>
                <w:color w:val="000000"/>
                <w:sz w:val="20"/>
              </w:rPr>
              <w:t>47</w:t>
            </w:r>
          </w:p>
        </w:tc>
        <w:tc>
          <w:tcPr>
            <w:tcW w:w="140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685B2F" w:rsidRPr="00685B2F" w:rsidRDefault="00685B2F" w:rsidP="00685B2F">
            <w:pPr>
              <w:spacing w:before="40" w:after="4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685B2F">
              <w:rPr>
                <w:rFonts w:eastAsia="Times New Roman" w:cs="Times New Roman"/>
                <w:color w:val="000000"/>
                <w:sz w:val="20"/>
              </w:rPr>
              <w:t>29</w:t>
            </w:r>
          </w:p>
        </w:tc>
        <w:tc>
          <w:tcPr>
            <w:tcW w:w="130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685B2F" w:rsidRPr="00685B2F" w:rsidRDefault="00685B2F" w:rsidP="00685B2F">
            <w:pPr>
              <w:spacing w:before="40" w:after="4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685B2F">
              <w:rPr>
                <w:rFonts w:eastAsia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130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685B2F" w:rsidRPr="00685B2F" w:rsidRDefault="00685B2F" w:rsidP="00685B2F">
            <w:pPr>
              <w:spacing w:before="40" w:after="4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685B2F">
              <w:rPr>
                <w:rFonts w:eastAsia="Times New Roman" w:cs="Times New Roman"/>
                <w:color w:val="000000"/>
                <w:sz w:val="20"/>
              </w:rPr>
              <w:t>290</w:t>
            </w:r>
          </w:p>
        </w:tc>
      </w:tr>
      <w:tr w:rsidR="00685B2F" w:rsidRPr="00685B2F" w:rsidTr="00963CE8">
        <w:trPr>
          <w:trHeight w:val="255"/>
        </w:trPr>
        <w:tc>
          <w:tcPr>
            <w:tcW w:w="140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685B2F" w:rsidRPr="00685B2F" w:rsidRDefault="00685B2F" w:rsidP="00685B2F">
            <w:pPr>
              <w:spacing w:before="40" w:after="40" w:line="240" w:lineRule="auto"/>
              <w:jc w:val="left"/>
              <w:rPr>
                <w:rFonts w:eastAsia="Times New Roman" w:cs="Times New Roman"/>
                <w:color w:val="000000"/>
                <w:sz w:val="20"/>
              </w:rPr>
            </w:pPr>
            <w:r w:rsidRPr="00685B2F">
              <w:rPr>
                <w:rFonts w:eastAsia="Times New Roman" w:cs="Times New Roman"/>
                <w:color w:val="000000"/>
                <w:sz w:val="20"/>
              </w:rPr>
              <w:t>50-54</w:t>
            </w:r>
          </w:p>
        </w:tc>
        <w:tc>
          <w:tcPr>
            <w:tcW w:w="140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685B2F" w:rsidRPr="00685B2F" w:rsidRDefault="00685B2F" w:rsidP="00685B2F">
            <w:pPr>
              <w:spacing w:before="40" w:after="4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685B2F">
              <w:rPr>
                <w:rFonts w:eastAsia="Times New Roman" w:cs="Times New Roman"/>
                <w:color w:val="000000"/>
                <w:sz w:val="20"/>
              </w:rPr>
              <w:t>50</w:t>
            </w:r>
          </w:p>
        </w:tc>
        <w:tc>
          <w:tcPr>
            <w:tcW w:w="140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685B2F" w:rsidRPr="00685B2F" w:rsidRDefault="00685B2F" w:rsidP="00685B2F">
            <w:pPr>
              <w:spacing w:before="40" w:after="4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685B2F">
              <w:rPr>
                <w:rFonts w:eastAsia="Times New Roman" w:cs="Times New Roman"/>
                <w:color w:val="000000"/>
                <w:sz w:val="20"/>
              </w:rPr>
              <w:t>54</w:t>
            </w:r>
          </w:p>
        </w:tc>
        <w:tc>
          <w:tcPr>
            <w:tcW w:w="140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685B2F" w:rsidRPr="00685B2F" w:rsidRDefault="00685B2F" w:rsidP="00685B2F">
            <w:pPr>
              <w:spacing w:before="40" w:after="4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685B2F">
              <w:rPr>
                <w:rFonts w:eastAsia="Times New Roman" w:cs="Times New Roman"/>
                <w:color w:val="000000"/>
                <w:sz w:val="20"/>
              </w:rPr>
              <w:t>52</w:t>
            </w:r>
          </w:p>
        </w:tc>
        <w:tc>
          <w:tcPr>
            <w:tcW w:w="140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685B2F" w:rsidRPr="00685B2F" w:rsidRDefault="00685B2F" w:rsidP="00685B2F">
            <w:pPr>
              <w:spacing w:before="40" w:after="4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685B2F">
              <w:rPr>
                <w:rFonts w:eastAsia="Times New Roman" w:cs="Times New Roman"/>
                <w:color w:val="000000"/>
                <w:sz w:val="20"/>
              </w:rPr>
              <w:t>24</w:t>
            </w:r>
          </w:p>
        </w:tc>
        <w:tc>
          <w:tcPr>
            <w:tcW w:w="130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685B2F" w:rsidRPr="00685B2F" w:rsidRDefault="00685B2F" w:rsidP="00685B2F">
            <w:pPr>
              <w:spacing w:before="40" w:after="4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685B2F">
              <w:rPr>
                <w:rFonts w:eastAsia="Times New Roman" w:cs="Times New Roman"/>
                <w:color w:val="000000"/>
                <w:sz w:val="20"/>
              </w:rPr>
              <w:t>30</w:t>
            </w:r>
          </w:p>
        </w:tc>
        <w:tc>
          <w:tcPr>
            <w:tcW w:w="130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685B2F" w:rsidRPr="00685B2F" w:rsidRDefault="00685B2F" w:rsidP="00685B2F">
            <w:pPr>
              <w:spacing w:before="40" w:after="4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685B2F">
              <w:rPr>
                <w:rFonts w:eastAsia="Times New Roman" w:cs="Times New Roman"/>
                <w:color w:val="000000"/>
                <w:sz w:val="20"/>
              </w:rPr>
              <w:t>720</w:t>
            </w:r>
          </w:p>
        </w:tc>
      </w:tr>
      <w:tr w:rsidR="00685B2F" w:rsidRPr="00685B2F" w:rsidTr="00963CE8">
        <w:trPr>
          <w:trHeight w:val="255"/>
        </w:trPr>
        <w:tc>
          <w:tcPr>
            <w:tcW w:w="1400" w:type="dxa"/>
            <w:tcBorders>
              <w:top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685B2F" w:rsidRPr="00685B2F" w:rsidRDefault="00685B2F" w:rsidP="00685B2F">
            <w:pPr>
              <w:spacing w:before="40" w:after="40" w:line="240" w:lineRule="auto"/>
              <w:jc w:val="left"/>
              <w:rPr>
                <w:rFonts w:eastAsia="Times New Roman" w:cs="Times New Roman"/>
                <w:color w:val="000000"/>
                <w:sz w:val="20"/>
              </w:rPr>
            </w:pPr>
            <w:r w:rsidRPr="00685B2F">
              <w:rPr>
                <w:rFonts w:eastAsia="Times New Roman" w:cs="Times New Roman"/>
                <w:color w:val="000000"/>
                <w:sz w:val="20"/>
              </w:rPr>
              <w:t>55-59</w:t>
            </w:r>
          </w:p>
        </w:tc>
        <w:tc>
          <w:tcPr>
            <w:tcW w:w="1400" w:type="dxa"/>
            <w:tcBorders>
              <w:top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685B2F" w:rsidRPr="00685B2F" w:rsidRDefault="00685B2F" w:rsidP="00685B2F">
            <w:pPr>
              <w:spacing w:before="40" w:after="4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685B2F">
              <w:rPr>
                <w:rFonts w:eastAsia="Times New Roman" w:cs="Times New Roman"/>
                <w:color w:val="000000"/>
                <w:sz w:val="20"/>
              </w:rPr>
              <w:t>55</w:t>
            </w:r>
          </w:p>
        </w:tc>
        <w:tc>
          <w:tcPr>
            <w:tcW w:w="1400" w:type="dxa"/>
            <w:tcBorders>
              <w:top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685B2F" w:rsidRPr="00685B2F" w:rsidRDefault="00685B2F" w:rsidP="00685B2F">
            <w:pPr>
              <w:spacing w:before="40" w:after="4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685B2F">
              <w:rPr>
                <w:rFonts w:eastAsia="Times New Roman" w:cs="Times New Roman"/>
                <w:color w:val="000000"/>
                <w:sz w:val="20"/>
              </w:rPr>
              <w:t>59</w:t>
            </w:r>
          </w:p>
        </w:tc>
        <w:tc>
          <w:tcPr>
            <w:tcW w:w="1400" w:type="dxa"/>
            <w:tcBorders>
              <w:top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685B2F" w:rsidRPr="00685B2F" w:rsidRDefault="00685B2F" w:rsidP="00685B2F">
            <w:pPr>
              <w:spacing w:before="40" w:after="4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685B2F">
              <w:rPr>
                <w:rFonts w:eastAsia="Times New Roman" w:cs="Times New Roman"/>
                <w:color w:val="000000"/>
                <w:sz w:val="20"/>
              </w:rPr>
              <w:t>57</w:t>
            </w:r>
          </w:p>
        </w:tc>
        <w:tc>
          <w:tcPr>
            <w:tcW w:w="1400" w:type="dxa"/>
            <w:tcBorders>
              <w:top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685B2F" w:rsidRPr="00685B2F" w:rsidRDefault="00685B2F" w:rsidP="00685B2F">
            <w:pPr>
              <w:spacing w:before="40" w:after="4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685B2F">
              <w:rPr>
                <w:rFonts w:eastAsia="Times New Roman" w:cs="Times New Roman"/>
                <w:color w:val="000000"/>
                <w:sz w:val="20"/>
              </w:rPr>
              <w:t>19</w:t>
            </w:r>
          </w:p>
        </w:tc>
        <w:tc>
          <w:tcPr>
            <w:tcW w:w="1300" w:type="dxa"/>
            <w:tcBorders>
              <w:top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685B2F" w:rsidRPr="00685B2F" w:rsidRDefault="00685B2F" w:rsidP="00685B2F">
            <w:pPr>
              <w:spacing w:before="40" w:after="4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685B2F">
              <w:rPr>
                <w:rFonts w:eastAsia="Times New Roman" w:cs="Times New Roman"/>
                <w:color w:val="000000"/>
                <w:sz w:val="20"/>
              </w:rPr>
              <w:t>60</w:t>
            </w:r>
          </w:p>
        </w:tc>
        <w:tc>
          <w:tcPr>
            <w:tcW w:w="1300" w:type="dxa"/>
            <w:tcBorders>
              <w:top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685B2F" w:rsidRPr="00685B2F" w:rsidRDefault="00685B2F" w:rsidP="00685B2F">
            <w:pPr>
              <w:spacing w:before="40" w:after="4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685B2F">
              <w:rPr>
                <w:rFonts w:eastAsia="Times New Roman" w:cs="Times New Roman"/>
                <w:color w:val="000000"/>
                <w:sz w:val="20"/>
              </w:rPr>
              <w:t>1 140</w:t>
            </w:r>
          </w:p>
        </w:tc>
      </w:tr>
      <w:tr w:rsidR="00685B2F" w:rsidRPr="00685B2F" w:rsidTr="00685B2F">
        <w:trPr>
          <w:trHeight w:val="255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85B2F" w:rsidRPr="00685B2F" w:rsidRDefault="00685B2F" w:rsidP="00685B2F">
            <w:pPr>
              <w:spacing w:before="40" w:after="40" w:line="240" w:lineRule="auto"/>
              <w:jc w:val="left"/>
              <w:rPr>
                <w:rFonts w:eastAsia="Times New Roman" w:cs="Times New Roman"/>
                <w:color w:val="000000"/>
                <w:sz w:val="20"/>
              </w:rPr>
            </w:pPr>
            <w:r w:rsidRPr="00685B2F">
              <w:rPr>
                <w:rFonts w:eastAsia="Times New Roman" w:cs="Times New Roman"/>
                <w:color w:val="000000"/>
                <w:sz w:val="20"/>
              </w:rPr>
              <w:t>60-64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85B2F" w:rsidRPr="00685B2F" w:rsidRDefault="00685B2F" w:rsidP="00685B2F">
            <w:pPr>
              <w:spacing w:before="40" w:after="4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685B2F">
              <w:rPr>
                <w:rFonts w:eastAsia="Times New Roman" w:cs="Times New Roman"/>
                <w:color w:val="000000"/>
                <w:sz w:val="20"/>
              </w:rPr>
              <w:t>60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85B2F" w:rsidRPr="00685B2F" w:rsidRDefault="00685B2F" w:rsidP="00685B2F">
            <w:pPr>
              <w:spacing w:before="40" w:after="4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685B2F">
              <w:rPr>
                <w:rFonts w:eastAsia="Times New Roman" w:cs="Times New Roman"/>
                <w:color w:val="000000"/>
                <w:sz w:val="20"/>
              </w:rPr>
              <w:t>64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85B2F" w:rsidRPr="00685B2F" w:rsidRDefault="00685B2F" w:rsidP="00685B2F">
            <w:pPr>
              <w:spacing w:before="40" w:after="4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685B2F">
              <w:rPr>
                <w:rFonts w:eastAsia="Times New Roman" w:cs="Times New Roman"/>
                <w:color w:val="000000"/>
                <w:sz w:val="20"/>
              </w:rPr>
              <w:t>62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85B2F" w:rsidRPr="00685B2F" w:rsidRDefault="00685B2F" w:rsidP="00685B2F">
            <w:pPr>
              <w:spacing w:before="40" w:after="4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685B2F">
              <w:rPr>
                <w:rFonts w:eastAsia="Times New Roman" w:cs="Times New Roman"/>
                <w:color w:val="000000"/>
                <w:sz w:val="20"/>
              </w:rPr>
              <w:t>14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85B2F" w:rsidRPr="00685B2F" w:rsidRDefault="00685B2F" w:rsidP="00685B2F">
            <w:pPr>
              <w:spacing w:before="40" w:after="4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685B2F">
              <w:rPr>
                <w:rFonts w:eastAsia="Times New Roman" w:cs="Times New Roman"/>
                <w:color w:val="000000"/>
                <w:sz w:val="20"/>
              </w:rPr>
              <w:t>68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85B2F" w:rsidRPr="00685B2F" w:rsidRDefault="00685B2F" w:rsidP="00685B2F">
            <w:pPr>
              <w:spacing w:before="40" w:after="4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685B2F">
              <w:rPr>
                <w:rFonts w:eastAsia="Times New Roman" w:cs="Times New Roman"/>
                <w:color w:val="000000"/>
                <w:sz w:val="20"/>
              </w:rPr>
              <w:t>952</w:t>
            </w:r>
          </w:p>
        </w:tc>
      </w:tr>
      <w:tr w:rsidR="00685B2F" w:rsidRPr="00685B2F" w:rsidTr="00685B2F">
        <w:trPr>
          <w:trHeight w:val="255"/>
        </w:trPr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B2F" w:rsidRPr="00685B2F" w:rsidRDefault="00685B2F" w:rsidP="00685B2F">
            <w:pPr>
              <w:spacing w:before="40" w:after="40" w:line="240" w:lineRule="auto"/>
              <w:jc w:val="left"/>
              <w:rPr>
                <w:rFonts w:eastAsia="Times New Roman" w:cs="Times New Roman"/>
                <w:color w:val="000000"/>
                <w:sz w:val="20"/>
              </w:rPr>
            </w:pPr>
            <w:r w:rsidRPr="00685B2F">
              <w:rPr>
                <w:rFonts w:eastAsia="Times New Roman" w:cs="Times New Roman"/>
                <w:color w:val="000000"/>
                <w:sz w:val="20"/>
              </w:rPr>
              <w:t>65-69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B2F" w:rsidRPr="00685B2F" w:rsidRDefault="00685B2F" w:rsidP="00685B2F">
            <w:pPr>
              <w:spacing w:before="40" w:after="4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685B2F">
              <w:rPr>
                <w:rFonts w:eastAsia="Times New Roman" w:cs="Times New Roman"/>
                <w:color w:val="000000"/>
                <w:sz w:val="20"/>
              </w:rPr>
              <w:t>65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B2F" w:rsidRPr="00685B2F" w:rsidRDefault="00685B2F" w:rsidP="00685B2F">
            <w:pPr>
              <w:spacing w:before="40" w:after="4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685B2F">
              <w:rPr>
                <w:rFonts w:eastAsia="Times New Roman" w:cs="Times New Roman"/>
                <w:color w:val="000000"/>
                <w:sz w:val="20"/>
              </w:rPr>
              <w:t>69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B2F" w:rsidRPr="00685B2F" w:rsidRDefault="00685B2F" w:rsidP="00685B2F">
            <w:pPr>
              <w:spacing w:before="40" w:after="4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685B2F">
              <w:rPr>
                <w:rFonts w:eastAsia="Times New Roman" w:cs="Times New Roman"/>
                <w:color w:val="000000"/>
                <w:sz w:val="20"/>
              </w:rPr>
              <w:t>67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B2F" w:rsidRPr="00685B2F" w:rsidRDefault="00685B2F" w:rsidP="00685B2F">
            <w:pPr>
              <w:spacing w:before="40" w:after="4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685B2F">
              <w:rPr>
                <w:rFonts w:eastAsia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B2F" w:rsidRPr="00685B2F" w:rsidRDefault="00685B2F" w:rsidP="00685B2F">
            <w:pPr>
              <w:spacing w:before="40" w:after="4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685B2F">
              <w:rPr>
                <w:rFonts w:eastAsia="Times New Roman" w:cs="Times New Roman"/>
                <w:color w:val="000000"/>
                <w:sz w:val="20"/>
              </w:rPr>
              <w:t>47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B2F" w:rsidRPr="00685B2F" w:rsidRDefault="00685B2F" w:rsidP="00685B2F">
            <w:pPr>
              <w:spacing w:before="40" w:after="4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685B2F">
              <w:rPr>
                <w:rFonts w:eastAsia="Times New Roman" w:cs="Times New Roman"/>
                <w:color w:val="000000"/>
                <w:sz w:val="20"/>
              </w:rPr>
              <w:t>423</w:t>
            </w:r>
          </w:p>
        </w:tc>
      </w:tr>
      <w:tr w:rsidR="00685B2F" w:rsidRPr="00685B2F" w:rsidTr="00685B2F">
        <w:trPr>
          <w:trHeight w:val="255"/>
        </w:trPr>
        <w:tc>
          <w:tcPr>
            <w:tcW w:w="8300" w:type="dxa"/>
            <w:gridSpan w:val="6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5B2F" w:rsidRPr="00685B2F" w:rsidRDefault="00685B2F" w:rsidP="00685B2F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685B2F">
              <w:rPr>
                <w:rFonts w:eastAsia="Times New Roman" w:cs="Times New Roman"/>
                <w:b/>
                <w:bCs/>
                <w:color w:val="000000"/>
                <w:sz w:val="20"/>
              </w:rPr>
              <w:t>Suma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5B2F" w:rsidRPr="00685B2F" w:rsidRDefault="00685B2F" w:rsidP="00685B2F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685B2F">
              <w:rPr>
                <w:rFonts w:eastAsia="Times New Roman" w:cs="Times New Roman"/>
                <w:b/>
                <w:bCs/>
                <w:color w:val="000000"/>
                <w:sz w:val="20"/>
              </w:rPr>
              <w:t>5 029</w:t>
            </w:r>
          </w:p>
        </w:tc>
      </w:tr>
    </w:tbl>
    <w:p w:rsidR="00685B2F" w:rsidRPr="00A0272E" w:rsidRDefault="00685B2F" w:rsidP="00685B2F">
      <w:pPr>
        <w:spacing w:after="240" w:line="240" w:lineRule="auto"/>
        <w:jc w:val="left"/>
        <w:rPr>
          <w:sz w:val="20"/>
        </w:rPr>
      </w:pPr>
      <w:r w:rsidRPr="00A0272E">
        <w:rPr>
          <w:sz w:val="20"/>
        </w:rPr>
        <w:t xml:space="preserve">Źródło: Opracowanie własne na podstawie: </w:t>
      </w:r>
      <w:r w:rsidRPr="00A0272E">
        <w:rPr>
          <w:i/>
          <w:sz w:val="20"/>
        </w:rPr>
        <w:t>Zgony wg grup wieku</w:t>
      </w:r>
      <w:r w:rsidRPr="00A0272E">
        <w:rPr>
          <w:sz w:val="20"/>
        </w:rPr>
        <w:t xml:space="preserve">, Główny Urząd Statystyczny, </w:t>
      </w:r>
      <w:hyperlink r:id="rId8" w:history="1">
        <w:r w:rsidRPr="00A0272E">
          <w:rPr>
            <w:rStyle w:val="Hipercze"/>
            <w:sz w:val="20"/>
          </w:rPr>
          <w:t>http://stat.gov.pl/</w:t>
        </w:r>
      </w:hyperlink>
      <w:r w:rsidRPr="00A0272E">
        <w:rPr>
          <w:sz w:val="20"/>
        </w:rPr>
        <w:t>.</w:t>
      </w:r>
    </w:p>
    <w:p w:rsidR="00685B2F" w:rsidRPr="001C7DD9" w:rsidRDefault="00685B2F" w:rsidP="00685B2F">
      <w:pPr>
        <w:ind w:firstLine="72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Zgodnie z </w:t>
      </w:r>
      <w:r w:rsidRPr="00F07839">
        <w:rPr>
          <w:rFonts w:cs="Times New Roman"/>
          <w:color w:val="000000" w:themeColor="text1"/>
        </w:rPr>
        <w:t xml:space="preserve">opublikowanymi danymi dotyczącymi standaryzowanych wskaźników umieralności (SMR) w latach 2009-2011, opracowanymi przez </w:t>
      </w:r>
      <w:proofErr w:type="spellStart"/>
      <w:r w:rsidRPr="00F07839">
        <w:rPr>
          <w:rFonts w:cs="Times New Roman"/>
          <w:color w:val="000000" w:themeColor="text1"/>
        </w:rPr>
        <w:t>N</w:t>
      </w:r>
      <w:r>
        <w:rPr>
          <w:rFonts w:cs="Times New Roman"/>
          <w:color w:val="000000" w:themeColor="text1"/>
        </w:rPr>
        <w:t>I</w:t>
      </w:r>
      <w:r w:rsidRPr="00F07839">
        <w:rPr>
          <w:rFonts w:cs="Times New Roman"/>
          <w:color w:val="000000" w:themeColor="text1"/>
        </w:rPr>
        <w:t>ZP</w:t>
      </w:r>
      <w:r>
        <w:rPr>
          <w:rFonts w:cs="Times New Roman"/>
          <w:color w:val="000000" w:themeColor="text1"/>
        </w:rPr>
        <w:t>-PZH</w:t>
      </w:r>
      <w:proofErr w:type="spellEnd"/>
      <w:r>
        <w:rPr>
          <w:rFonts w:cs="Times New Roman"/>
          <w:color w:val="000000" w:themeColor="text1"/>
        </w:rPr>
        <w:t xml:space="preserve">, główną przyczyną zgonów </w:t>
      </w:r>
      <w:r w:rsidR="00603A67">
        <w:rPr>
          <w:rFonts w:cs="Times New Roman"/>
          <w:color w:val="000000" w:themeColor="text1"/>
        </w:rPr>
        <w:t>są przyczyny zewnętrzne</w:t>
      </w:r>
      <w:r>
        <w:rPr>
          <w:rFonts w:cs="Times New Roman"/>
          <w:color w:val="000000" w:themeColor="text1"/>
        </w:rPr>
        <w:t>. Mimo, iż w wartościach bezwzględnych dominują choroby układu krążenia (</w:t>
      </w:r>
      <w:r w:rsidR="00F250A3">
        <w:rPr>
          <w:rFonts w:cs="Times New Roman"/>
          <w:color w:val="000000" w:themeColor="text1"/>
        </w:rPr>
        <w:t>685</w:t>
      </w:r>
      <w:r>
        <w:rPr>
          <w:rFonts w:cs="Times New Roman"/>
          <w:color w:val="000000" w:themeColor="text1"/>
        </w:rPr>
        <w:t xml:space="preserve"> zgonów w latach 2009-2011) a</w:t>
      </w:r>
      <w:r w:rsidR="00F250A3">
        <w:rPr>
          <w:rFonts w:cs="Times New Roman"/>
          <w:color w:val="000000" w:themeColor="text1"/>
        </w:rPr>
        <w:t xml:space="preserve"> na drugim miejscu plasują się nowotwory złośliwe (365</w:t>
      </w:r>
      <w:r>
        <w:rPr>
          <w:rFonts w:cs="Times New Roman"/>
          <w:color w:val="000000" w:themeColor="text1"/>
        </w:rPr>
        <w:t xml:space="preserve"> zgonów w analizowanym okresie), to wartość standaryzowanego współczynnika umieralności, jes</w:t>
      </w:r>
      <w:r w:rsidR="00F250A3">
        <w:rPr>
          <w:rFonts w:cs="Times New Roman"/>
          <w:color w:val="000000" w:themeColor="text1"/>
        </w:rPr>
        <w:t>t wyższa w odniesieniu do przyczyn zewnętrznych a w drugiej kolejności dla chorób układu trawiennego</w:t>
      </w:r>
      <w:r>
        <w:rPr>
          <w:rFonts w:cs="Times New Roman"/>
          <w:color w:val="000000" w:themeColor="text1"/>
        </w:rPr>
        <w:t>.</w:t>
      </w:r>
    </w:p>
    <w:p w:rsidR="00341348" w:rsidRDefault="00341348" w:rsidP="00341348">
      <w:pPr>
        <w:pStyle w:val="Legenda"/>
      </w:pPr>
      <w:bookmarkStart w:id="4" w:name="_Ref387477225"/>
      <w:r>
        <w:t xml:space="preserve">Tabela </w:t>
      </w:r>
      <w:r w:rsidR="00967BA4">
        <w:fldChar w:fldCharType="begin"/>
      </w:r>
      <w:r>
        <w:instrText xml:space="preserve"> SEQ Tabela \* ARABIC </w:instrText>
      </w:r>
      <w:r w:rsidR="00967BA4">
        <w:fldChar w:fldCharType="separate"/>
      </w:r>
      <w:r w:rsidR="006C7416">
        <w:rPr>
          <w:noProof/>
        </w:rPr>
        <w:t>2</w:t>
      </w:r>
      <w:r w:rsidR="00967BA4">
        <w:fldChar w:fldCharType="end"/>
      </w:r>
      <w:bookmarkEnd w:id="4"/>
      <w:r>
        <w:t xml:space="preserve"> Standaryzowany wskaźnik</w:t>
      </w:r>
      <w:r w:rsidRPr="00341348">
        <w:t xml:space="preserve"> umieralności (SMR) w latach 2009-2011</w:t>
      </w:r>
      <w:r>
        <w:t xml:space="preserve"> dla powiatu świdwińskiego</w:t>
      </w:r>
    </w:p>
    <w:tbl>
      <w:tblPr>
        <w:tblW w:w="5000" w:type="pct"/>
        <w:tblBorders>
          <w:top w:val="single" w:sz="12" w:space="0" w:color="auto"/>
          <w:left w:val="single" w:sz="12" w:space="0" w:color="FFFFFF" w:themeColor="background1"/>
          <w:bottom w:val="single" w:sz="12" w:space="0" w:color="auto"/>
          <w:right w:val="single" w:sz="12" w:space="0" w:color="FFFFFF" w:themeColor="background1"/>
          <w:insideH w:val="single" w:sz="4" w:space="0" w:color="FFFFFF" w:themeColor="background1"/>
          <w:insideV w:val="single" w:sz="12" w:space="0" w:color="FFFFFF" w:themeColor="background1"/>
        </w:tblBorders>
        <w:tblLook w:val="04A0"/>
      </w:tblPr>
      <w:tblGrid>
        <w:gridCol w:w="1375"/>
        <w:gridCol w:w="1375"/>
        <w:gridCol w:w="1376"/>
        <w:gridCol w:w="1374"/>
        <w:gridCol w:w="1374"/>
        <w:gridCol w:w="1374"/>
        <w:gridCol w:w="1372"/>
      </w:tblGrid>
      <w:tr w:rsidR="00D750F1" w:rsidRPr="00341348" w:rsidTr="00C03A37">
        <w:trPr>
          <w:trHeight w:val="510"/>
        </w:trPr>
        <w:tc>
          <w:tcPr>
            <w:tcW w:w="715" w:type="pct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750F1" w:rsidRPr="00341348" w:rsidRDefault="00D750F1" w:rsidP="00D750F1">
            <w:pPr>
              <w:spacing w:before="80" w:after="8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t>Kategoria</w:t>
            </w:r>
          </w:p>
        </w:tc>
        <w:tc>
          <w:tcPr>
            <w:tcW w:w="715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50F1" w:rsidRPr="00341348" w:rsidRDefault="00D750F1" w:rsidP="00D750F1">
            <w:pPr>
              <w:spacing w:before="80" w:after="8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341348">
              <w:rPr>
                <w:rFonts w:eastAsia="Times New Roman" w:cs="Times New Roman"/>
                <w:b/>
                <w:bCs/>
                <w:color w:val="000000"/>
                <w:sz w:val="20"/>
              </w:rPr>
              <w:t>ogółem</w:t>
            </w:r>
          </w:p>
        </w:tc>
        <w:tc>
          <w:tcPr>
            <w:tcW w:w="715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50F1" w:rsidRPr="00341348" w:rsidRDefault="00D750F1" w:rsidP="00D750F1">
            <w:pPr>
              <w:spacing w:before="80" w:after="8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341348">
              <w:rPr>
                <w:rFonts w:eastAsia="Times New Roman" w:cs="Times New Roman"/>
                <w:b/>
                <w:bCs/>
                <w:color w:val="000000"/>
                <w:sz w:val="20"/>
              </w:rPr>
              <w:t>nowotwory złośliwe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50F1" w:rsidRPr="00341348" w:rsidRDefault="00D750F1" w:rsidP="00D750F1">
            <w:pPr>
              <w:spacing w:before="80" w:after="8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proofErr w:type="spellStart"/>
            <w:r w:rsidRPr="00341348">
              <w:rPr>
                <w:rFonts w:eastAsia="Times New Roman" w:cs="Times New Roman"/>
                <w:b/>
                <w:bCs/>
                <w:color w:val="000000"/>
                <w:sz w:val="20"/>
              </w:rPr>
              <w:t>ChUK</w:t>
            </w:r>
            <w:proofErr w:type="spellEnd"/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50F1" w:rsidRPr="00341348" w:rsidRDefault="00D750F1" w:rsidP="00D750F1">
            <w:pPr>
              <w:spacing w:before="80" w:after="8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proofErr w:type="spellStart"/>
            <w:r w:rsidRPr="00341348">
              <w:rPr>
                <w:rFonts w:eastAsia="Times New Roman" w:cs="Times New Roman"/>
                <w:b/>
                <w:bCs/>
                <w:color w:val="000000"/>
                <w:sz w:val="20"/>
              </w:rPr>
              <w:t>ChUO</w:t>
            </w:r>
            <w:proofErr w:type="spellEnd"/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50F1" w:rsidRPr="00341348" w:rsidRDefault="00D750F1" w:rsidP="00D750F1">
            <w:pPr>
              <w:spacing w:before="80" w:after="8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proofErr w:type="spellStart"/>
            <w:r w:rsidRPr="00341348">
              <w:rPr>
                <w:rFonts w:eastAsia="Times New Roman" w:cs="Times New Roman"/>
                <w:b/>
                <w:bCs/>
                <w:color w:val="000000"/>
                <w:sz w:val="20"/>
              </w:rPr>
              <w:t>ChUT</w:t>
            </w:r>
            <w:proofErr w:type="spellEnd"/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F1" w:rsidRPr="00341348" w:rsidRDefault="00D750F1" w:rsidP="00D750F1">
            <w:pPr>
              <w:spacing w:before="80" w:after="8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341348">
              <w:rPr>
                <w:rFonts w:eastAsia="Times New Roman" w:cs="Times New Roman"/>
                <w:b/>
                <w:bCs/>
                <w:color w:val="000000"/>
                <w:sz w:val="20"/>
              </w:rPr>
              <w:t>PZ</w:t>
            </w:r>
          </w:p>
        </w:tc>
      </w:tr>
      <w:tr w:rsidR="002B7C7E" w:rsidRPr="00341348" w:rsidTr="00C03A37">
        <w:trPr>
          <w:trHeight w:val="255"/>
        </w:trPr>
        <w:tc>
          <w:tcPr>
            <w:tcW w:w="715" w:type="pct"/>
            <w:tcBorders>
              <w:top w:val="single" w:sz="4" w:space="0" w:color="auto"/>
            </w:tcBorders>
          </w:tcPr>
          <w:p w:rsidR="002B7C7E" w:rsidRPr="00D750F1" w:rsidRDefault="002B7C7E" w:rsidP="00341348">
            <w:pPr>
              <w:spacing w:before="80" w:after="8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D750F1">
              <w:rPr>
                <w:rFonts w:eastAsia="Times New Roman" w:cs="Times New Roman"/>
                <w:b/>
                <w:bCs/>
                <w:color w:val="000000"/>
                <w:sz w:val="20"/>
              </w:rPr>
              <w:t>Zgony</w:t>
            </w:r>
          </w:p>
        </w:tc>
        <w:tc>
          <w:tcPr>
            <w:tcW w:w="715" w:type="pct"/>
            <w:tcBorders>
              <w:top w:val="single" w:sz="4" w:space="0" w:color="auto"/>
            </w:tcBorders>
            <w:shd w:val="clear" w:color="auto" w:fill="auto"/>
            <w:noWrap/>
          </w:tcPr>
          <w:p w:rsidR="002B7C7E" w:rsidRPr="002B7C7E" w:rsidRDefault="002B7C7E" w:rsidP="002B7C7E">
            <w:pPr>
              <w:spacing w:before="80" w:after="8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2B7C7E">
              <w:rPr>
                <w:rFonts w:eastAsia="Times New Roman" w:cs="Times New Roman"/>
                <w:color w:val="000000"/>
                <w:sz w:val="20"/>
              </w:rPr>
              <w:t>1496</w:t>
            </w:r>
          </w:p>
        </w:tc>
        <w:tc>
          <w:tcPr>
            <w:tcW w:w="715" w:type="pct"/>
            <w:tcBorders>
              <w:top w:val="single" w:sz="4" w:space="0" w:color="auto"/>
            </w:tcBorders>
            <w:shd w:val="clear" w:color="auto" w:fill="auto"/>
            <w:noWrap/>
          </w:tcPr>
          <w:p w:rsidR="002B7C7E" w:rsidRPr="002B7C7E" w:rsidRDefault="002B7C7E" w:rsidP="002B7C7E">
            <w:pPr>
              <w:spacing w:before="80" w:after="8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2B7C7E">
              <w:rPr>
                <w:rFonts w:eastAsia="Times New Roman" w:cs="Times New Roman"/>
                <w:color w:val="000000"/>
                <w:sz w:val="20"/>
              </w:rPr>
              <w:t>365</w:t>
            </w:r>
          </w:p>
        </w:tc>
        <w:tc>
          <w:tcPr>
            <w:tcW w:w="714" w:type="pct"/>
            <w:tcBorders>
              <w:top w:val="single" w:sz="4" w:space="0" w:color="auto"/>
            </w:tcBorders>
            <w:shd w:val="clear" w:color="auto" w:fill="auto"/>
            <w:noWrap/>
          </w:tcPr>
          <w:p w:rsidR="002B7C7E" w:rsidRPr="002B7C7E" w:rsidRDefault="002B7C7E" w:rsidP="002B7C7E">
            <w:pPr>
              <w:spacing w:before="80" w:after="8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2B7C7E">
              <w:rPr>
                <w:rFonts w:eastAsia="Times New Roman" w:cs="Times New Roman"/>
                <w:color w:val="000000"/>
                <w:sz w:val="20"/>
              </w:rPr>
              <w:t>685</w:t>
            </w:r>
          </w:p>
        </w:tc>
        <w:tc>
          <w:tcPr>
            <w:tcW w:w="714" w:type="pct"/>
            <w:tcBorders>
              <w:top w:val="single" w:sz="4" w:space="0" w:color="auto"/>
            </w:tcBorders>
            <w:shd w:val="clear" w:color="auto" w:fill="auto"/>
            <w:noWrap/>
          </w:tcPr>
          <w:p w:rsidR="002B7C7E" w:rsidRPr="002B7C7E" w:rsidRDefault="002B7C7E" w:rsidP="002B7C7E">
            <w:pPr>
              <w:spacing w:before="80" w:after="8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2B7C7E">
              <w:rPr>
                <w:rFonts w:eastAsia="Times New Roman" w:cs="Times New Roman"/>
                <w:color w:val="000000"/>
                <w:sz w:val="20"/>
              </w:rPr>
              <w:t>60</w:t>
            </w:r>
          </w:p>
        </w:tc>
        <w:tc>
          <w:tcPr>
            <w:tcW w:w="714" w:type="pct"/>
            <w:tcBorders>
              <w:top w:val="single" w:sz="4" w:space="0" w:color="auto"/>
            </w:tcBorders>
            <w:shd w:val="clear" w:color="auto" w:fill="auto"/>
            <w:noWrap/>
          </w:tcPr>
          <w:p w:rsidR="002B7C7E" w:rsidRPr="002B7C7E" w:rsidRDefault="002B7C7E" w:rsidP="002B7C7E">
            <w:pPr>
              <w:spacing w:before="80" w:after="8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2B7C7E">
              <w:rPr>
                <w:rFonts w:eastAsia="Times New Roman" w:cs="Times New Roman"/>
                <w:color w:val="000000"/>
                <w:sz w:val="20"/>
              </w:rPr>
              <w:t>75</w:t>
            </w:r>
          </w:p>
        </w:tc>
        <w:tc>
          <w:tcPr>
            <w:tcW w:w="714" w:type="pct"/>
            <w:tcBorders>
              <w:top w:val="single" w:sz="4" w:space="0" w:color="auto"/>
            </w:tcBorders>
            <w:shd w:val="clear" w:color="auto" w:fill="auto"/>
            <w:noWrap/>
          </w:tcPr>
          <w:p w:rsidR="002B7C7E" w:rsidRPr="002B7C7E" w:rsidRDefault="002B7C7E" w:rsidP="002B7C7E">
            <w:pPr>
              <w:spacing w:before="80" w:after="8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2B7C7E">
              <w:rPr>
                <w:rFonts w:eastAsia="Times New Roman" w:cs="Times New Roman"/>
                <w:color w:val="000000"/>
                <w:sz w:val="20"/>
              </w:rPr>
              <w:t>136</w:t>
            </w:r>
          </w:p>
        </w:tc>
      </w:tr>
      <w:tr w:rsidR="00D750F1" w:rsidRPr="00341348" w:rsidTr="00C03A37">
        <w:trPr>
          <w:trHeight w:val="255"/>
        </w:trPr>
        <w:tc>
          <w:tcPr>
            <w:tcW w:w="715" w:type="pct"/>
          </w:tcPr>
          <w:p w:rsidR="00D750F1" w:rsidRPr="00D750F1" w:rsidRDefault="00D750F1" w:rsidP="00341348">
            <w:pPr>
              <w:spacing w:before="80" w:after="8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341348">
              <w:rPr>
                <w:rFonts w:eastAsia="Times New Roman" w:cs="Times New Roman"/>
                <w:b/>
                <w:bCs/>
                <w:color w:val="000000"/>
                <w:sz w:val="20"/>
              </w:rPr>
              <w:t>SMR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D750F1" w:rsidRPr="00341348" w:rsidRDefault="00D750F1" w:rsidP="00341348">
            <w:pPr>
              <w:spacing w:before="80" w:after="8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1348">
              <w:rPr>
                <w:rFonts w:eastAsia="Times New Roman" w:cs="Times New Roman"/>
                <w:color w:val="000000"/>
                <w:sz w:val="20"/>
              </w:rPr>
              <w:t>1,087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D750F1" w:rsidRPr="00341348" w:rsidRDefault="00D750F1" w:rsidP="00341348">
            <w:pPr>
              <w:spacing w:before="80" w:after="8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1348">
              <w:rPr>
                <w:rFonts w:eastAsia="Times New Roman" w:cs="Times New Roman"/>
                <w:color w:val="000000"/>
                <w:sz w:val="20"/>
              </w:rPr>
              <w:t>1,084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D750F1" w:rsidRPr="00341348" w:rsidRDefault="00D750F1" w:rsidP="00341348">
            <w:pPr>
              <w:spacing w:before="80" w:after="8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1348">
              <w:rPr>
                <w:rFonts w:eastAsia="Times New Roman" w:cs="Times New Roman"/>
                <w:color w:val="000000"/>
                <w:sz w:val="20"/>
              </w:rPr>
              <w:t>1,099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D750F1" w:rsidRPr="00341348" w:rsidRDefault="00D750F1" w:rsidP="00341348">
            <w:pPr>
              <w:spacing w:before="80" w:after="8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1348">
              <w:rPr>
                <w:rFonts w:eastAsia="Times New Roman" w:cs="Times New Roman"/>
                <w:color w:val="000000"/>
                <w:sz w:val="20"/>
              </w:rPr>
              <w:t>0,838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D750F1" w:rsidRPr="00341348" w:rsidRDefault="00D750F1" w:rsidP="00341348">
            <w:pPr>
              <w:spacing w:before="80" w:after="8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1348">
              <w:rPr>
                <w:rFonts w:eastAsia="Times New Roman" w:cs="Times New Roman"/>
                <w:color w:val="000000"/>
                <w:sz w:val="20"/>
              </w:rPr>
              <w:t>1,226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D750F1" w:rsidRPr="00341348" w:rsidRDefault="00D750F1" w:rsidP="00341348">
            <w:pPr>
              <w:spacing w:before="80" w:after="8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1348">
              <w:rPr>
                <w:rFonts w:eastAsia="Times New Roman" w:cs="Times New Roman"/>
                <w:color w:val="000000"/>
                <w:sz w:val="20"/>
              </w:rPr>
              <w:t>1,494</w:t>
            </w:r>
          </w:p>
        </w:tc>
      </w:tr>
    </w:tbl>
    <w:p w:rsidR="00341348" w:rsidRDefault="00341348" w:rsidP="00341348">
      <w:pPr>
        <w:spacing w:after="240" w:line="240" w:lineRule="auto"/>
        <w:rPr>
          <w:rStyle w:val="Hipercze"/>
          <w:sz w:val="20"/>
        </w:rPr>
      </w:pPr>
      <w:r w:rsidRPr="00341348">
        <w:rPr>
          <w:sz w:val="20"/>
        </w:rPr>
        <w:t xml:space="preserve">Źródło: </w:t>
      </w:r>
      <w:r w:rsidRPr="00341348">
        <w:rPr>
          <w:i/>
          <w:sz w:val="20"/>
        </w:rPr>
        <w:t>Dane dotyczące standaryzowanych wskaźników umieralności (SMR)</w:t>
      </w:r>
      <w:r w:rsidRPr="00341348">
        <w:rPr>
          <w:sz w:val="20"/>
        </w:rPr>
        <w:t xml:space="preserve">, Ministerstwo Zdrowia za: Narodowy Instytut Zdrowia Publicznego - Państwowy Zakład Higieny, </w:t>
      </w:r>
      <w:hyperlink r:id="rId9" w:history="1">
        <w:r w:rsidRPr="00341348">
          <w:rPr>
            <w:rStyle w:val="Hipercze"/>
            <w:sz w:val="20"/>
          </w:rPr>
          <w:t>http://www.zdrowie.gov.pl/aktualnosc-35-2143-Dane_dotyczace_standaryzowanych_wskaznikow_umieralnosci_%28SMR%29.html</w:t>
        </w:r>
      </w:hyperlink>
    </w:p>
    <w:p w:rsidR="007C6C78" w:rsidRPr="001C7DD9" w:rsidRDefault="007C6C78" w:rsidP="007C6C78">
      <w:pPr>
        <w:ind w:firstLine="72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lastRenderedPageBreak/>
        <w:t>W</w:t>
      </w:r>
      <w:r>
        <w:t xml:space="preserve">skaźnik SMR za lata 2009-2011 dla przyczyn zewnętrznych wyniósł </w:t>
      </w:r>
      <w:r>
        <w:rPr>
          <w:rFonts w:eastAsia="Times New Roman" w:cs="Times New Roman"/>
          <w:color w:val="000000"/>
          <w:szCs w:val="22"/>
          <w:lang w:eastAsia="pl-PL"/>
        </w:rPr>
        <w:t>1,494</w:t>
      </w:r>
      <w:r w:rsidR="00EE4A73">
        <w:t xml:space="preserve">, </w:t>
      </w:r>
      <w:r>
        <w:t xml:space="preserve">dla chorób układu </w:t>
      </w:r>
      <w:r w:rsidR="00EE4A73">
        <w:t>trawiennego</w:t>
      </w:r>
      <w:r>
        <w:t xml:space="preserve">: </w:t>
      </w:r>
      <w:r w:rsidR="00EE4A73">
        <w:rPr>
          <w:rFonts w:eastAsia="Times New Roman" w:cs="Times New Roman"/>
          <w:color w:val="000000"/>
          <w:szCs w:val="22"/>
          <w:lang w:eastAsia="pl-PL"/>
        </w:rPr>
        <w:t>1,226</w:t>
      </w:r>
      <w:r>
        <w:rPr>
          <w:rFonts w:eastAsia="Times New Roman" w:cs="Times New Roman"/>
          <w:color w:val="000000"/>
          <w:szCs w:val="22"/>
          <w:lang w:eastAsia="pl-PL"/>
        </w:rPr>
        <w:t xml:space="preserve">. Standaryzowany wskaźnik umieralności dla pozostałych przyczyn wynosi odpowiednio: choroby układu </w:t>
      </w:r>
      <w:r w:rsidR="00EE4A73">
        <w:rPr>
          <w:rFonts w:eastAsia="Times New Roman" w:cs="Times New Roman"/>
          <w:color w:val="000000"/>
          <w:szCs w:val="22"/>
          <w:lang w:eastAsia="pl-PL"/>
        </w:rPr>
        <w:t>krążenia–1,099</w:t>
      </w:r>
      <w:r>
        <w:rPr>
          <w:rFonts w:eastAsia="Times New Roman" w:cs="Times New Roman"/>
          <w:color w:val="000000"/>
          <w:szCs w:val="22"/>
          <w:lang w:eastAsia="pl-PL"/>
        </w:rPr>
        <w:t xml:space="preserve">, </w:t>
      </w:r>
      <w:r w:rsidR="00EE4A73">
        <w:rPr>
          <w:rFonts w:eastAsia="Times New Roman" w:cs="Times New Roman"/>
          <w:color w:val="000000"/>
          <w:szCs w:val="22"/>
          <w:lang w:eastAsia="pl-PL"/>
        </w:rPr>
        <w:t>nowotwory złośliwe–1,084, choroby układu oddechowego – 0,838</w:t>
      </w:r>
      <w:r>
        <w:rPr>
          <w:rFonts w:eastAsia="Times New Roman" w:cs="Times New Roman"/>
          <w:color w:val="000000"/>
          <w:szCs w:val="22"/>
          <w:lang w:eastAsia="pl-PL"/>
        </w:rPr>
        <w:t xml:space="preserve"> (por.</w:t>
      </w:r>
      <w:r w:rsidR="002E5A20">
        <w:rPr>
          <w:rFonts w:eastAsia="Times New Roman" w:cs="Times New Roman"/>
          <w:color w:val="000000"/>
          <w:szCs w:val="22"/>
          <w:lang w:eastAsia="pl-PL"/>
        </w:rPr>
        <w:t xml:space="preserve"> Tabela 2)</w:t>
      </w:r>
      <w:r>
        <w:rPr>
          <w:rFonts w:eastAsia="Times New Roman" w:cs="Times New Roman"/>
          <w:color w:val="000000"/>
          <w:szCs w:val="22"/>
          <w:lang w:eastAsia="pl-PL"/>
        </w:rPr>
        <w:t xml:space="preserve">. </w:t>
      </w:r>
    </w:p>
    <w:p w:rsidR="007C6C78" w:rsidRPr="00341348" w:rsidRDefault="007C6C78" w:rsidP="00341348">
      <w:pPr>
        <w:spacing w:after="240" w:line="240" w:lineRule="auto"/>
        <w:rPr>
          <w:sz w:val="20"/>
        </w:rPr>
      </w:pPr>
    </w:p>
    <w:p w:rsidR="00341348" w:rsidRDefault="00341348" w:rsidP="00F17F12"/>
    <w:p w:rsidR="002B7C7E" w:rsidRDefault="002B7C7E" w:rsidP="002B7C7E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572000" cy="2986088"/>
            <wp:effectExtent l="0" t="0" r="0" b="508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41348" w:rsidRDefault="00732F17" w:rsidP="00732F17">
      <w:pPr>
        <w:pStyle w:val="Legenda"/>
      </w:pPr>
      <w:r>
        <w:t xml:space="preserve">Wykres </w:t>
      </w:r>
      <w:r w:rsidR="00967BA4">
        <w:fldChar w:fldCharType="begin"/>
      </w:r>
      <w:r>
        <w:instrText xml:space="preserve"> SEQ Wykres \* ARABIC </w:instrText>
      </w:r>
      <w:r w:rsidR="00967BA4">
        <w:fldChar w:fldCharType="separate"/>
      </w:r>
      <w:r w:rsidR="00D0726E">
        <w:rPr>
          <w:noProof/>
        </w:rPr>
        <w:t>1</w:t>
      </w:r>
      <w:r w:rsidR="00967BA4">
        <w:fldChar w:fldCharType="end"/>
      </w:r>
      <w:r>
        <w:t xml:space="preserve"> Standaryzowany wskaźnik</w:t>
      </w:r>
      <w:r w:rsidRPr="00341348">
        <w:t xml:space="preserve"> umieralności (SMR) w latach 2009-2011</w:t>
      </w:r>
      <w:r>
        <w:t xml:space="preserve"> dla powiatu świdwińskiego – ujęcie graficzne</w:t>
      </w:r>
    </w:p>
    <w:p w:rsidR="00341348" w:rsidRDefault="00732F17" w:rsidP="00187B1F">
      <w:pPr>
        <w:spacing w:after="240" w:line="240" w:lineRule="auto"/>
        <w:jc w:val="center"/>
        <w:rPr>
          <w:rStyle w:val="Hipercze"/>
          <w:sz w:val="20"/>
        </w:rPr>
      </w:pPr>
      <w:r w:rsidRPr="00341348">
        <w:rPr>
          <w:sz w:val="20"/>
        </w:rPr>
        <w:t xml:space="preserve">Źródło: </w:t>
      </w:r>
      <w:r w:rsidRPr="00341348">
        <w:rPr>
          <w:i/>
          <w:sz w:val="20"/>
        </w:rPr>
        <w:t>Dane dotyczące standaryzowanych wskaźników umieralności (SMR)</w:t>
      </w:r>
      <w:r w:rsidRPr="00341348">
        <w:rPr>
          <w:sz w:val="20"/>
        </w:rPr>
        <w:t xml:space="preserve">, Ministerstwo Zdrowia za: Narodowy Instytut Zdrowia Publicznego - Państwowy Zakład Higieny, </w:t>
      </w:r>
      <w:hyperlink r:id="rId11" w:history="1">
        <w:r w:rsidRPr="00341348">
          <w:rPr>
            <w:rStyle w:val="Hipercze"/>
            <w:sz w:val="20"/>
          </w:rPr>
          <w:t>http://www.zdrowie.gov.pl/aktualnosc-35-2143-Dane_dotyczace_standaryzowanych_wskaznikow_umieralnosci_%28SMR%29.html</w:t>
        </w:r>
      </w:hyperlink>
    </w:p>
    <w:p w:rsidR="007C6C78" w:rsidRPr="00EE4A73" w:rsidRDefault="007C6C78" w:rsidP="00EE4A73">
      <w:pPr>
        <w:ind w:firstLine="720"/>
      </w:pPr>
      <w:r w:rsidRPr="001D2014">
        <w:t xml:space="preserve">Średnia liczba zgonów w latach 2009-2012 w powiecie </w:t>
      </w:r>
      <w:r w:rsidR="00EE4A73">
        <w:t>świdwińskim wynosiła 509</w:t>
      </w:r>
      <w:r w:rsidRPr="001D2014">
        <w:t>. Według danych GUS</w:t>
      </w:r>
      <w:r>
        <w:t xml:space="preserve"> w wartościach bezwzględnych </w:t>
      </w:r>
      <w:r w:rsidRPr="001D2014">
        <w:t>najczęstszą przyczyną</w:t>
      </w:r>
      <w:r>
        <w:t xml:space="preserve"> śmierci</w:t>
      </w:r>
      <w:r w:rsidRPr="001D2014">
        <w:t xml:space="preserve"> były choroby </w:t>
      </w:r>
      <w:r w:rsidR="00904E14">
        <w:t>układu krążenia, stanowiące 43,3</w:t>
      </w:r>
      <w:r w:rsidRPr="001D2014">
        <w:t xml:space="preserve">% wszystkich przyczyn. </w:t>
      </w:r>
      <w:r>
        <w:t xml:space="preserve">Trend w tym zakresie zmienia się skokowo, przyjmując co roku rozbieżne wartości. </w:t>
      </w:r>
      <w:r w:rsidRPr="001D2014">
        <w:t>Drugą kategorią istotnie wypływającą na śmiertelność w p</w:t>
      </w:r>
      <w:r>
        <w:t xml:space="preserve">owiecie są choroby nowotworowe, a w dziesięcioletniej perspektywie czasowej trend ma charakter wzrostowy. </w:t>
      </w:r>
      <w:r w:rsidR="00904E14">
        <w:t xml:space="preserve">Obie grupy </w:t>
      </w:r>
      <w:r w:rsidR="00904E14">
        <w:lastRenderedPageBreak/>
        <w:t xml:space="preserve">schorzeń odpowiadają za 73,1% wszystkich zgonów w powiecie. </w:t>
      </w:r>
      <w:r w:rsidRPr="000F3B4F">
        <w:t>Pozostałe katego</w:t>
      </w:r>
      <w:r w:rsidR="00904E14">
        <w:t xml:space="preserve">rie wyodrębnione w statystykach, ujmowane w wartościach bezwzględnych, </w:t>
      </w:r>
      <w:r w:rsidRPr="000F3B4F">
        <w:t>w niewielkim stopniu wpływają na umieralność ludności powiatu</w:t>
      </w:r>
      <w:r>
        <w:t xml:space="preserve"> (por.</w:t>
      </w:r>
      <w:r w:rsidR="00FC7F87">
        <w:t xml:space="preserve"> Tabela 3</w:t>
      </w:r>
      <w:r>
        <w:t>,</w:t>
      </w:r>
      <w:r w:rsidR="00FC7F87">
        <w:t xml:space="preserve"> Wykres 2)</w:t>
      </w:r>
      <w:r w:rsidRPr="000F3B4F">
        <w:t>.</w:t>
      </w:r>
      <w:r w:rsidR="00904E14">
        <w:rPr>
          <w:sz w:val="23"/>
          <w:szCs w:val="23"/>
        </w:rPr>
        <w:t>Jednakże niepokojący jest, bardzo dynamiczny, wzrost zachorowalności na choroby układu trawienia.</w:t>
      </w:r>
    </w:p>
    <w:p w:rsidR="00C90096" w:rsidRDefault="00C03A37" w:rsidP="00C03A37">
      <w:pPr>
        <w:pStyle w:val="Legenda"/>
        <w:rPr>
          <w:sz w:val="20"/>
        </w:rPr>
      </w:pPr>
      <w:bookmarkStart w:id="5" w:name="_Ref387477243"/>
      <w:r>
        <w:t xml:space="preserve">Tabela </w:t>
      </w:r>
      <w:r w:rsidR="00967BA4">
        <w:fldChar w:fldCharType="begin"/>
      </w:r>
      <w:r>
        <w:instrText xml:space="preserve"> SEQ Tabela \* ARABIC </w:instrText>
      </w:r>
      <w:r w:rsidR="00967BA4">
        <w:fldChar w:fldCharType="separate"/>
      </w:r>
      <w:r w:rsidR="006C7416">
        <w:rPr>
          <w:noProof/>
        </w:rPr>
        <w:t>3</w:t>
      </w:r>
      <w:r w:rsidR="00967BA4">
        <w:fldChar w:fldCharType="end"/>
      </w:r>
      <w:bookmarkEnd w:id="5"/>
      <w:r w:rsidRPr="00C03A37">
        <w:t>Zgony wg przyczyn</w:t>
      </w:r>
      <w:r>
        <w:t xml:space="preserve"> w powiecie</w:t>
      </w:r>
      <w:r w:rsidR="003C443D">
        <w:t xml:space="preserve"> świdwińskim dla lat 2009 i 2012</w:t>
      </w:r>
    </w:p>
    <w:tbl>
      <w:tblPr>
        <w:tblW w:w="5000" w:type="pct"/>
        <w:tblBorders>
          <w:top w:val="single" w:sz="12" w:space="0" w:color="auto"/>
          <w:bottom w:val="single" w:sz="12" w:space="0" w:color="auto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5958"/>
        <w:gridCol w:w="1149"/>
        <w:gridCol w:w="1062"/>
        <w:gridCol w:w="1451"/>
      </w:tblGrid>
      <w:tr w:rsidR="00A83EC5" w:rsidRPr="00C90096" w:rsidTr="00EE4A73">
        <w:trPr>
          <w:trHeight w:val="255"/>
        </w:trPr>
        <w:tc>
          <w:tcPr>
            <w:tcW w:w="3097" w:type="pct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EC5" w:rsidRPr="00C90096" w:rsidRDefault="00A83EC5" w:rsidP="00A83EC5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color w:val="000000"/>
                <w:sz w:val="20"/>
              </w:rPr>
            </w:pPr>
            <w:r w:rsidRPr="00C90096">
              <w:rPr>
                <w:rFonts w:eastAsia="Times New Roman" w:cs="Times New Roman"/>
                <w:b/>
                <w:color w:val="000000"/>
                <w:sz w:val="20"/>
              </w:rPr>
              <w:t>Nazwa</w:t>
            </w:r>
          </w:p>
        </w:tc>
        <w:tc>
          <w:tcPr>
            <w:tcW w:w="597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EC5" w:rsidRPr="00C90096" w:rsidRDefault="00A83EC5" w:rsidP="00A83EC5">
            <w:pPr>
              <w:spacing w:before="80" w:after="8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C90096">
              <w:rPr>
                <w:rFonts w:eastAsia="Times New Roman" w:cs="Times New Roman"/>
                <w:b/>
                <w:bCs/>
                <w:color w:val="000000"/>
                <w:sz w:val="20"/>
              </w:rPr>
              <w:t>2009</w:t>
            </w:r>
          </w:p>
        </w:tc>
        <w:tc>
          <w:tcPr>
            <w:tcW w:w="552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EC5" w:rsidRPr="00C90096" w:rsidRDefault="00A83EC5" w:rsidP="00A83EC5">
            <w:pPr>
              <w:spacing w:before="80" w:after="8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C90096">
              <w:rPr>
                <w:rFonts w:eastAsia="Times New Roman" w:cs="Times New Roman"/>
                <w:b/>
                <w:bCs/>
                <w:color w:val="000000"/>
                <w:sz w:val="20"/>
              </w:rPr>
              <w:t>2013</w:t>
            </w:r>
          </w:p>
        </w:tc>
        <w:tc>
          <w:tcPr>
            <w:tcW w:w="754" w:type="pct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EC5" w:rsidRPr="00C90096" w:rsidRDefault="00A83EC5" w:rsidP="00A83EC5">
            <w:pPr>
              <w:spacing w:before="80" w:after="8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C90096">
              <w:rPr>
                <w:rFonts w:eastAsia="Times New Roman" w:cs="Times New Roman"/>
                <w:b/>
                <w:bCs/>
                <w:color w:val="000000"/>
                <w:sz w:val="20"/>
              </w:rPr>
              <w:t>Przyrost</w:t>
            </w:r>
          </w:p>
        </w:tc>
      </w:tr>
      <w:tr w:rsidR="00A83EC5" w:rsidRPr="00C90096" w:rsidTr="00904E14">
        <w:trPr>
          <w:trHeight w:val="255"/>
        </w:trPr>
        <w:tc>
          <w:tcPr>
            <w:tcW w:w="3097" w:type="pct"/>
            <w:tcBorders>
              <w:top w:val="single" w:sz="4" w:space="0" w:color="auto"/>
              <w:bottom w:val="single" w:sz="4" w:space="0" w:color="FFFFFF" w:themeColor="background1"/>
              <w:right w:val="nil"/>
            </w:tcBorders>
            <w:shd w:val="clear" w:color="auto" w:fill="auto"/>
            <w:vAlign w:val="bottom"/>
            <w:hideMark/>
          </w:tcPr>
          <w:p w:rsidR="00A83EC5" w:rsidRPr="00904E14" w:rsidRDefault="00A83EC5" w:rsidP="00A83EC5">
            <w:pPr>
              <w:spacing w:before="80" w:after="80" w:line="240" w:lineRule="auto"/>
              <w:jc w:val="left"/>
              <w:rPr>
                <w:rFonts w:eastAsia="Times New Roman" w:cs="Times New Roman"/>
                <w:color w:val="000000"/>
                <w:sz w:val="20"/>
              </w:rPr>
            </w:pPr>
            <w:r w:rsidRPr="00904E14">
              <w:rPr>
                <w:rFonts w:eastAsia="Times New Roman" w:cs="Times New Roman"/>
                <w:color w:val="000000"/>
                <w:sz w:val="20"/>
              </w:rPr>
              <w:t xml:space="preserve">choroby układu </w:t>
            </w:r>
            <w:proofErr w:type="spellStart"/>
            <w:r w:rsidRPr="00904E14">
              <w:rPr>
                <w:rFonts w:eastAsia="Times New Roman" w:cs="Times New Roman"/>
                <w:color w:val="000000"/>
                <w:sz w:val="20"/>
              </w:rPr>
              <w:t>kostnostawowego</w:t>
            </w:r>
            <w:proofErr w:type="spellEnd"/>
            <w:r w:rsidRPr="00904E14">
              <w:rPr>
                <w:rFonts w:eastAsia="Times New Roman" w:cs="Times New Roman"/>
                <w:color w:val="000000"/>
                <w:sz w:val="20"/>
              </w:rPr>
              <w:t>, mięśniowego i tkanki łącznej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center"/>
            <w:hideMark/>
          </w:tcPr>
          <w:p w:rsidR="00A83EC5" w:rsidRPr="00904E14" w:rsidRDefault="00A83EC5" w:rsidP="00A83EC5">
            <w:pPr>
              <w:spacing w:before="80" w:after="8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904E14">
              <w:rPr>
                <w:rFonts w:eastAsia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center"/>
            <w:hideMark/>
          </w:tcPr>
          <w:p w:rsidR="00A83EC5" w:rsidRPr="00904E14" w:rsidRDefault="00A83EC5" w:rsidP="00A83EC5">
            <w:pPr>
              <w:spacing w:before="80" w:after="8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904E14">
              <w:rPr>
                <w:rFonts w:eastAsia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A83EC5" w:rsidRPr="00904E14" w:rsidRDefault="00A83EC5" w:rsidP="00A83EC5">
            <w:pPr>
              <w:spacing w:before="80" w:after="8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904E14">
              <w:rPr>
                <w:rFonts w:eastAsia="Times New Roman" w:cs="Times New Roman"/>
                <w:color w:val="000000"/>
                <w:sz w:val="20"/>
              </w:rPr>
              <w:t>100,0%</w:t>
            </w:r>
          </w:p>
        </w:tc>
      </w:tr>
      <w:tr w:rsidR="00A83EC5" w:rsidRPr="00C90096" w:rsidTr="00EE4A73">
        <w:trPr>
          <w:trHeight w:val="255"/>
        </w:trPr>
        <w:tc>
          <w:tcPr>
            <w:tcW w:w="309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bottom"/>
            <w:hideMark/>
          </w:tcPr>
          <w:p w:rsidR="00A83EC5" w:rsidRPr="00904E14" w:rsidRDefault="00A83EC5" w:rsidP="00A83EC5">
            <w:pPr>
              <w:spacing w:before="80" w:after="80" w:line="240" w:lineRule="auto"/>
              <w:jc w:val="left"/>
              <w:rPr>
                <w:rFonts w:eastAsia="Times New Roman" w:cs="Times New Roman"/>
                <w:color w:val="000000"/>
                <w:sz w:val="20"/>
              </w:rPr>
            </w:pPr>
            <w:r w:rsidRPr="00904E14">
              <w:rPr>
                <w:rFonts w:eastAsia="Times New Roman" w:cs="Times New Roman"/>
                <w:color w:val="000000"/>
                <w:sz w:val="20"/>
              </w:rPr>
              <w:t>choroby układu krążenia ogółem</w:t>
            </w:r>
          </w:p>
        </w:tc>
        <w:tc>
          <w:tcPr>
            <w:tcW w:w="59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A83EC5" w:rsidRPr="00904E14" w:rsidRDefault="00A83EC5" w:rsidP="00A83EC5">
            <w:pPr>
              <w:spacing w:before="80" w:after="8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904E14">
              <w:rPr>
                <w:rFonts w:eastAsia="Times New Roman" w:cs="Times New Roman"/>
                <w:color w:val="000000"/>
                <w:sz w:val="20"/>
              </w:rPr>
              <w:t>210</w:t>
            </w:r>
          </w:p>
        </w:tc>
        <w:tc>
          <w:tcPr>
            <w:tcW w:w="552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A83EC5" w:rsidRPr="00904E14" w:rsidRDefault="00A83EC5" w:rsidP="00A83EC5">
            <w:pPr>
              <w:spacing w:before="80" w:after="8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904E14">
              <w:rPr>
                <w:rFonts w:eastAsia="Times New Roman" w:cs="Times New Roman"/>
                <w:color w:val="000000"/>
                <w:sz w:val="20"/>
              </w:rPr>
              <w:t>234</w:t>
            </w:r>
          </w:p>
        </w:tc>
        <w:tc>
          <w:tcPr>
            <w:tcW w:w="754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A83EC5" w:rsidRPr="00904E14" w:rsidRDefault="00A83EC5" w:rsidP="00A83EC5">
            <w:pPr>
              <w:spacing w:before="80" w:after="8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904E14">
              <w:rPr>
                <w:rFonts w:eastAsia="Times New Roman" w:cs="Times New Roman"/>
                <w:color w:val="000000"/>
                <w:sz w:val="20"/>
              </w:rPr>
              <w:t>11,4%</w:t>
            </w:r>
          </w:p>
        </w:tc>
      </w:tr>
      <w:tr w:rsidR="00A83EC5" w:rsidRPr="00C90096" w:rsidTr="00904E14">
        <w:trPr>
          <w:trHeight w:val="255"/>
        </w:trPr>
        <w:tc>
          <w:tcPr>
            <w:tcW w:w="3097" w:type="pct"/>
            <w:tcBorders>
              <w:top w:val="single" w:sz="4" w:space="0" w:color="FFFFFF" w:themeColor="background1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3EC5" w:rsidRPr="00904E14" w:rsidRDefault="00A83EC5" w:rsidP="00A83EC5">
            <w:pPr>
              <w:spacing w:before="80" w:after="80" w:line="240" w:lineRule="auto"/>
              <w:jc w:val="left"/>
              <w:rPr>
                <w:rFonts w:eastAsia="Times New Roman" w:cs="Times New Roman"/>
                <w:color w:val="000000"/>
                <w:sz w:val="20"/>
              </w:rPr>
            </w:pPr>
            <w:r w:rsidRPr="00904E14">
              <w:rPr>
                <w:rFonts w:eastAsia="Times New Roman" w:cs="Times New Roman"/>
                <w:color w:val="000000"/>
                <w:sz w:val="20"/>
              </w:rPr>
              <w:t>choroby układu moczowo-płciowego</w:t>
            </w:r>
          </w:p>
        </w:tc>
        <w:tc>
          <w:tcPr>
            <w:tcW w:w="597" w:type="pct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EC5" w:rsidRPr="00904E14" w:rsidRDefault="00A83EC5" w:rsidP="00A83EC5">
            <w:pPr>
              <w:spacing w:before="80" w:after="8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904E14">
              <w:rPr>
                <w:rFonts w:eastAsia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552" w:type="pct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EC5" w:rsidRPr="00904E14" w:rsidRDefault="00A83EC5" w:rsidP="00A83EC5">
            <w:pPr>
              <w:spacing w:before="80" w:after="8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904E14">
              <w:rPr>
                <w:rFonts w:eastAsia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754" w:type="pct"/>
            <w:tcBorders>
              <w:top w:val="single" w:sz="4" w:space="0" w:color="FFFFFF" w:themeColor="background1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83EC5" w:rsidRPr="00904E14" w:rsidRDefault="00A83EC5" w:rsidP="00A83EC5">
            <w:pPr>
              <w:spacing w:before="80" w:after="8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904E14">
              <w:rPr>
                <w:rFonts w:eastAsia="Times New Roman" w:cs="Times New Roman"/>
                <w:color w:val="000000"/>
                <w:sz w:val="20"/>
              </w:rPr>
              <w:t>350,0%</w:t>
            </w:r>
          </w:p>
        </w:tc>
      </w:tr>
      <w:tr w:rsidR="00A83EC5" w:rsidRPr="00C90096" w:rsidTr="00904E14">
        <w:trPr>
          <w:trHeight w:val="255"/>
        </w:trPr>
        <w:tc>
          <w:tcPr>
            <w:tcW w:w="3097" w:type="pct"/>
            <w:tcBorders>
              <w:top w:val="nil"/>
              <w:bottom w:val="single" w:sz="4" w:space="0" w:color="FFFFFF" w:themeColor="background1"/>
              <w:right w:val="nil"/>
            </w:tcBorders>
            <w:shd w:val="clear" w:color="auto" w:fill="auto"/>
            <w:vAlign w:val="bottom"/>
            <w:hideMark/>
          </w:tcPr>
          <w:p w:rsidR="00A83EC5" w:rsidRPr="00904E14" w:rsidRDefault="00A83EC5" w:rsidP="00A83EC5">
            <w:pPr>
              <w:spacing w:before="80" w:after="80" w:line="240" w:lineRule="auto"/>
              <w:jc w:val="left"/>
              <w:rPr>
                <w:rFonts w:eastAsia="Times New Roman" w:cs="Times New Roman"/>
                <w:color w:val="000000"/>
                <w:sz w:val="20"/>
              </w:rPr>
            </w:pPr>
            <w:r w:rsidRPr="00904E14">
              <w:rPr>
                <w:rFonts w:eastAsia="Times New Roman" w:cs="Times New Roman"/>
                <w:color w:val="000000"/>
                <w:sz w:val="20"/>
              </w:rPr>
              <w:t>choroby układu nerwowego ogółem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center"/>
            <w:hideMark/>
          </w:tcPr>
          <w:p w:rsidR="00A83EC5" w:rsidRPr="00904E14" w:rsidRDefault="00A83EC5" w:rsidP="00A83EC5">
            <w:pPr>
              <w:spacing w:before="80" w:after="8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904E14">
              <w:rPr>
                <w:rFonts w:eastAsia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center"/>
            <w:hideMark/>
          </w:tcPr>
          <w:p w:rsidR="00A83EC5" w:rsidRPr="00904E14" w:rsidRDefault="00A83EC5" w:rsidP="00A83EC5">
            <w:pPr>
              <w:spacing w:before="80" w:after="8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904E14">
              <w:rPr>
                <w:rFonts w:eastAsia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A83EC5" w:rsidRPr="00904E14" w:rsidRDefault="00A83EC5" w:rsidP="00A83EC5">
            <w:pPr>
              <w:spacing w:before="80" w:after="8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904E14">
              <w:rPr>
                <w:rFonts w:eastAsia="Times New Roman" w:cs="Times New Roman"/>
                <w:color w:val="000000"/>
                <w:sz w:val="20"/>
              </w:rPr>
              <w:t>66,7%</w:t>
            </w:r>
          </w:p>
        </w:tc>
      </w:tr>
      <w:tr w:rsidR="00A83EC5" w:rsidRPr="00C90096" w:rsidTr="00EE4A73">
        <w:trPr>
          <w:trHeight w:val="255"/>
        </w:trPr>
        <w:tc>
          <w:tcPr>
            <w:tcW w:w="309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bottom"/>
            <w:hideMark/>
          </w:tcPr>
          <w:p w:rsidR="00A83EC5" w:rsidRPr="00904E14" w:rsidRDefault="00A83EC5" w:rsidP="00A83EC5">
            <w:pPr>
              <w:spacing w:before="80" w:after="80" w:line="240" w:lineRule="auto"/>
              <w:jc w:val="left"/>
              <w:rPr>
                <w:rFonts w:eastAsia="Times New Roman" w:cs="Times New Roman"/>
                <w:color w:val="000000"/>
                <w:sz w:val="20"/>
              </w:rPr>
            </w:pPr>
            <w:r w:rsidRPr="00904E14">
              <w:rPr>
                <w:rFonts w:eastAsia="Times New Roman" w:cs="Times New Roman"/>
                <w:color w:val="000000"/>
                <w:sz w:val="20"/>
              </w:rPr>
              <w:t>choroby układu oddechowego ogółem</w:t>
            </w:r>
          </w:p>
        </w:tc>
        <w:tc>
          <w:tcPr>
            <w:tcW w:w="59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A83EC5" w:rsidRPr="00904E14" w:rsidRDefault="00A83EC5" w:rsidP="00A83EC5">
            <w:pPr>
              <w:spacing w:before="80" w:after="8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904E14">
              <w:rPr>
                <w:rFonts w:eastAsia="Times New Roman" w:cs="Times New Roman"/>
                <w:color w:val="000000"/>
                <w:sz w:val="20"/>
              </w:rPr>
              <w:t>24</w:t>
            </w:r>
          </w:p>
        </w:tc>
        <w:tc>
          <w:tcPr>
            <w:tcW w:w="552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A83EC5" w:rsidRPr="00904E14" w:rsidRDefault="00A83EC5" w:rsidP="00A83EC5">
            <w:pPr>
              <w:spacing w:before="80" w:after="8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904E14">
              <w:rPr>
                <w:rFonts w:eastAsia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754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A83EC5" w:rsidRPr="00904E14" w:rsidRDefault="00A83EC5" w:rsidP="00A83EC5">
            <w:pPr>
              <w:spacing w:before="80" w:after="8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904E14">
              <w:rPr>
                <w:rFonts w:eastAsia="Times New Roman" w:cs="Times New Roman"/>
                <w:color w:val="000000"/>
                <w:sz w:val="20"/>
              </w:rPr>
              <w:t>-16,7%</w:t>
            </w:r>
          </w:p>
        </w:tc>
      </w:tr>
      <w:tr w:rsidR="00A83EC5" w:rsidRPr="00C90096" w:rsidTr="00904E14">
        <w:trPr>
          <w:trHeight w:val="255"/>
        </w:trPr>
        <w:tc>
          <w:tcPr>
            <w:tcW w:w="3097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  <w:vAlign w:val="bottom"/>
            <w:hideMark/>
          </w:tcPr>
          <w:p w:rsidR="00A83EC5" w:rsidRPr="00904E14" w:rsidRDefault="00A83EC5" w:rsidP="00A83EC5">
            <w:pPr>
              <w:spacing w:before="80" w:after="80" w:line="240" w:lineRule="auto"/>
              <w:jc w:val="left"/>
              <w:rPr>
                <w:rFonts w:eastAsia="Times New Roman" w:cs="Times New Roman"/>
                <w:color w:val="000000"/>
                <w:sz w:val="20"/>
              </w:rPr>
            </w:pPr>
            <w:r w:rsidRPr="00904E14">
              <w:rPr>
                <w:rFonts w:eastAsia="Times New Roman" w:cs="Times New Roman"/>
                <w:color w:val="000000"/>
                <w:sz w:val="20"/>
              </w:rPr>
              <w:t>choroby układu trawiennego ogółem</w:t>
            </w:r>
          </w:p>
        </w:tc>
        <w:tc>
          <w:tcPr>
            <w:tcW w:w="597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center"/>
            <w:hideMark/>
          </w:tcPr>
          <w:p w:rsidR="00A83EC5" w:rsidRPr="00904E14" w:rsidRDefault="00A83EC5" w:rsidP="00A83EC5">
            <w:pPr>
              <w:spacing w:before="80" w:after="8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904E14">
              <w:rPr>
                <w:rFonts w:eastAsia="Times New Roman" w:cs="Times New Roman"/>
                <w:color w:val="000000"/>
                <w:sz w:val="20"/>
              </w:rPr>
              <w:t>18</w:t>
            </w:r>
          </w:p>
        </w:tc>
        <w:tc>
          <w:tcPr>
            <w:tcW w:w="552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center"/>
            <w:hideMark/>
          </w:tcPr>
          <w:p w:rsidR="00A83EC5" w:rsidRPr="00904E14" w:rsidRDefault="00A83EC5" w:rsidP="00A83EC5">
            <w:pPr>
              <w:spacing w:before="80" w:after="8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904E14">
              <w:rPr>
                <w:rFonts w:eastAsia="Times New Roman" w:cs="Times New Roman"/>
                <w:color w:val="000000"/>
                <w:sz w:val="20"/>
              </w:rPr>
              <w:t>27</w:t>
            </w:r>
          </w:p>
        </w:tc>
        <w:tc>
          <w:tcPr>
            <w:tcW w:w="754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A83EC5" w:rsidRPr="00904E14" w:rsidRDefault="00A83EC5" w:rsidP="00A83EC5">
            <w:pPr>
              <w:spacing w:before="80" w:after="8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904E14">
              <w:rPr>
                <w:rFonts w:eastAsia="Times New Roman" w:cs="Times New Roman"/>
                <w:color w:val="000000"/>
                <w:sz w:val="20"/>
              </w:rPr>
              <w:t>50,0%</w:t>
            </w:r>
          </w:p>
        </w:tc>
      </w:tr>
      <w:tr w:rsidR="00A83EC5" w:rsidRPr="00C90096" w:rsidTr="00EE4A73">
        <w:trPr>
          <w:trHeight w:val="255"/>
        </w:trPr>
        <w:tc>
          <w:tcPr>
            <w:tcW w:w="3097" w:type="pct"/>
            <w:tcBorders>
              <w:top w:val="single" w:sz="4" w:space="0" w:color="FFFFFF" w:themeColor="background1"/>
            </w:tcBorders>
            <w:shd w:val="clear" w:color="auto" w:fill="auto"/>
            <w:vAlign w:val="bottom"/>
            <w:hideMark/>
          </w:tcPr>
          <w:p w:rsidR="00A83EC5" w:rsidRPr="00904E14" w:rsidRDefault="00A83EC5" w:rsidP="00A83EC5">
            <w:pPr>
              <w:spacing w:before="80" w:after="80" w:line="240" w:lineRule="auto"/>
              <w:jc w:val="left"/>
              <w:rPr>
                <w:rFonts w:eastAsia="Times New Roman" w:cs="Times New Roman"/>
                <w:color w:val="000000"/>
                <w:sz w:val="20"/>
              </w:rPr>
            </w:pPr>
            <w:r w:rsidRPr="00904E14">
              <w:rPr>
                <w:rFonts w:eastAsia="Times New Roman" w:cs="Times New Roman"/>
                <w:color w:val="000000"/>
                <w:sz w:val="20"/>
              </w:rPr>
              <w:t>niektóre choroby zakaźne i pasożytnicze ogółem</w:t>
            </w:r>
          </w:p>
        </w:tc>
        <w:tc>
          <w:tcPr>
            <w:tcW w:w="597" w:type="pct"/>
            <w:tcBorders>
              <w:top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A83EC5" w:rsidRPr="00904E14" w:rsidRDefault="00A83EC5" w:rsidP="00A83EC5">
            <w:pPr>
              <w:spacing w:before="80" w:after="8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904E14">
              <w:rPr>
                <w:rFonts w:eastAsia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52" w:type="pct"/>
            <w:tcBorders>
              <w:top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A83EC5" w:rsidRPr="00904E14" w:rsidRDefault="00A83EC5" w:rsidP="00A83EC5">
            <w:pPr>
              <w:spacing w:before="80" w:after="8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904E14">
              <w:rPr>
                <w:rFonts w:eastAsia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54" w:type="pct"/>
            <w:tcBorders>
              <w:top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A83EC5" w:rsidRPr="00904E14" w:rsidRDefault="00A83EC5" w:rsidP="00A83EC5">
            <w:pPr>
              <w:spacing w:before="80" w:after="8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904E14">
              <w:rPr>
                <w:rFonts w:eastAsia="Times New Roman" w:cs="Times New Roman"/>
                <w:color w:val="000000"/>
                <w:sz w:val="20"/>
              </w:rPr>
              <w:t>25,0%</w:t>
            </w:r>
          </w:p>
        </w:tc>
      </w:tr>
      <w:tr w:rsidR="00A83EC5" w:rsidRPr="00C90096" w:rsidTr="00EE4A73">
        <w:trPr>
          <w:trHeight w:val="255"/>
        </w:trPr>
        <w:tc>
          <w:tcPr>
            <w:tcW w:w="3097" w:type="pct"/>
            <w:tcBorders>
              <w:bottom w:val="single" w:sz="4" w:space="0" w:color="FFFFFF" w:themeColor="background1"/>
            </w:tcBorders>
            <w:shd w:val="clear" w:color="auto" w:fill="auto"/>
            <w:vAlign w:val="bottom"/>
            <w:hideMark/>
          </w:tcPr>
          <w:p w:rsidR="00A83EC5" w:rsidRPr="00904E14" w:rsidRDefault="00A83EC5" w:rsidP="00A83EC5">
            <w:pPr>
              <w:spacing w:before="80" w:after="80" w:line="240" w:lineRule="auto"/>
              <w:jc w:val="left"/>
              <w:rPr>
                <w:rFonts w:eastAsia="Times New Roman" w:cs="Times New Roman"/>
                <w:color w:val="000000"/>
                <w:sz w:val="20"/>
              </w:rPr>
            </w:pPr>
            <w:r w:rsidRPr="00904E14">
              <w:rPr>
                <w:rFonts w:eastAsia="Times New Roman" w:cs="Times New Roman"/>
                <w:color w:val="000000"/>
                <w:sz w:val="20"/>
              </w:rPr>
              <w:t>niektóre stany rozpoczynające się w okresie okołoporodowym</w:t>
            </w:r>
          </w:p>
        </w:tc>
        <w:tc>
          <w:tcPr>
            <w:tcW w:w="597" w:type="pct"/>
            <w:tcBorders>
              <w:bottom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A83EC5" w:rsidRPr="00904E14" w:rsidRDefault="00A83EC5" w:rsidP="00A83EC5">
            <w:pPr>
              <w:spacing w:before="80" w:after="8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904E14">
              <w:rPr>
                <w:rFonts w:eastAsia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552" w:type="pct"/>
            <w:tcBorders>
              <w:bottom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A83EC5" w:rsidRPr="00904E14" w:rsidRDefault="00A83EC5" w:rsidP="00A83EC5">
            <w:pPr>
              <w:spacing w:before="80" w:after="8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904E14">
              <w:rPr>
                <w:rFonts w:eastAsia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54" w:type="pct"/>
            <w:tcBorders>
              <w:bottom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A83EC5" w:rsidRPr="00904E14" w:rsidRDefault="00A83EC5" w:rsidP="00A83EC5">
            <w:pPr>
              <w:spacing w:before="80" w:after="8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904E14">
              <w:rPr>
                <w:rFonts w:eastAsia="Times New Roman" w:cs="Times New Roman"/>
                <w:color w:val="000000"/>
                <w:sz w:val="20"/>
              </w:rPr>
              <w:t>0,0%</w:t>
            </w:r>
          </w:p>
        </w:tc>
      </w:tr>
      <w:tr w:rsidR="00A83EC5" w:rsidRPr="00C90096" w:rsidTr="00904E14">
        <w:trPr>
          <w:trHeight w:val="255"/>
        </w:trPr>
        <w:tc>
          <w:tcPr>
            <w:tcW w:w="3097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  <w:vAlign w:val="bottom"/>
            <w:hideMark/>
          </w:tcPr>
          <w:p w:rsidR="00A83EC5" w:rsidRPr="00904E14" w:rsidRDefault="00A83EC5" w:rsidP="00A83EC5">
            <w:pPr>
              <w:spacing w:before="80" w:after="80" w:line="240" w:lineRule="auto"/>
              <w:jc w:val="left"/>
              <w:rPr>
                <w:rFonts w:eastAsia="Times New Roman" w:cs="Times New Roman"/>
                <w:color w:val="000000"/>
                <w:sz w:val="20"/>
              </w:rPr>
            </w:pPr>
            <w:r w:rsidRPr="00904E14">
              <w:rPr>
                <w:rFonts w:eastAsia="Times New Roman" w:cs="Times New Roman"/>
                <w:color w:val="000000"/>
                <w:sz w:val="20"/>
              </w:rPr>
              <w:t>nowotwory ogółem</w:t>
            </w:r>
          </w:p>
        </w:tc>
        <w:tc>
          <w:tcPr>
            <w:tcW w:w="597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center"/>
            <w:hideMark/>
          </w:tcPr>
          <w:p w:rsidR="00A83EC5" w:rsidRPr="00904E14" w:rsidRDefault="00A83EC5" w:rsidP="00A83EC5">
            <w:pPr>
              <w:spacing w:before="80" w:after="8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904E14">
              <w:rPr>
                <w:rFonts w:eastAsia="Times New Roman" w:cs="Times New Roman"/>
                <w:color w:val="000000"/>
                <w:sz w:val="20"/>
              </w:rPr>
              <w:t>107</w:t>
            </w:r>
          </w:p>
        </w:tc>
        <w:tc>
          <w:tcPr>
            <w:tcW w:w="552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center"/>
            <w:hideMark/>
          </w:tcPr>
          <w:p w:rsidR="00A83EC5" w:rsidRPr="00904E14" w:rsidRDefault="00A83EC5" w:rsidP="00A83EC5">
            <w:pPr>
              <w:spacing w:before="80" w:after="8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904E14">
              <w:rPr>
                <w:rFonts w:eastAsia="Times New Roman" w:cs="Times New Roman"/>
                <w:color w:val="000000"/>
                <w:sz w:val="20"/>
              </w:rPr>
              <w:t>161</w:t>
            </w:r>
          </w:p>
        </w:tc>
        <w:tc>
          <w:tcPr>
            <w:tcW w:w="754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A83EC5" w:rsidRPr="00904E14" w:rsidRDefault="00A83EC5" w:rsidP="00A83EC5">
            <w:pPr>
              <w:spacing w:before="80" w:after="8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904E14">
              <w:rPr>
                <w:rFonts w:eastAsia="Times New Roman" w:cs="Times New Roman"/>
                <w:color w:val="000000"/>
                <w:sz w:val="20"/>
              </w:rPr>
              <w:t>50,5%</w:t>
            </w:r>
          </w:p>
        </w:tc>
      </w:tr>
      <w:tr w:rsidR="00A83EC5" w:rsidRPr="00C90096" w:rsidTr="00EE4A73">
        <w:trPr>
          <w:trHeight w:val="510"/>
        </w:trPr>
        <w:tc>
          <w:tcPr>
            <w:tcW w:w="3097" w:type="pct"/>
            <w:tcBorders>
              <w:top w:val="single" w:sz="4" w:space="0" w:color="FFFFFF" w:themeColor="background1"/>
            </w:tcBorders>
            <w:shd w:val="clear" w:color="auto" w:fill="auto"/>
            <w:vAlign w:val="bottom"/>
            <w:hideMark/>
          </w:tcPr>
          <w:p w:rsidR="00A83EC5" w:rsidRPr="00904E14" w:rsidRDefault="00A83EC5" w:rsidP="00A83EC5">
            <w:pPr>
              <w:spacing w:before="80" w:after="80" w:line="240" w:lineRule="auto"/>
              <w:jc w:val="left"/>
              <w:rPr>
                <w:rFonts w:eastAsia="Times New Roman" w:cs="Times New Roman"/>
                <w:color w:val="000000"/>
                <w:sz w:val="20"/>
              </w:rPr>
            </w:pPr>
            <w:r w:rsidRPr="00904E14">
              <w:rPr>
                <w:rFonts w:eastAsia="Times New Roman" w:cs="Times New Roman"/>
                <w:color w:val="000000"/>
                <w:sz w:val="20"/>
              </w:rPr>
              <w:t>objawy, cechy chorobowe oraz nieprawidłowe wyniki badań klinicznych, laboratoryjnych gdzie indziej niesklasyfikowane</w:t>
            </w:r>
          </w:p>
        </w:tc>
        <w:tc>
          <w:tcPr>
            <w:tcW w:w="597" w:type="pct"/>
            <w:tcBorders>
              <w:top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A83EC5" w:rsidRPr="00904E14" w:rsidRDefault="00A83EC5" w:rsidP="00A83EC5">
            <w:pPr>
              <w:spacing w:before="80" w:after="8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904E14">
              <w:rPr>
                <w:rFonts w:eastAsia="Times New Roman" w:cs="Times New Roman"/>
                <w:color w:val="000000"/>
                <w:sz w:val="20"/>
              </w:rPr>
              <w:t>29</w:t>
            </w:r>
          </w:p>
        </w:tc>
        <w:tc>
          <w:tcPr>
            <w:tcW w:w="552" w:type="pct"/>
            <w:tcBorders>
              <w:top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A83EC5" w:rsidRPr="00904E14" w:rsidRDefault="00A83EC5" w:rsidP="00A83EC5">
            <w:pPr>
              <w:spacing w:before="80" w:after="8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904E14">
              <w:rPr>
                <w:rFonts w:eastAsia="Times New Roman" w:cs="Times New Roman"/>
                <w:color w:val="000000"/>
                <w:sz w:val="20"/>
              </w:rPr>
              <w:t>32</w:t>
            </w:r>
          </w:p>
        </w:tc>
        <w:tc>
          <w:tcPr>
            <w:tcW w:w="754" w:type="pct"/>
            <w:tcBorders>
              <w:top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A83EC5" w:rsidRPr="00904E14" w:rsidRDefault="00A83EC5" w:rsidP="00A83EC5">
            <w:pPr>
              <w:spacing w:before="80" w:after="8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904E14">
              <w:rPr>
                <w:rFonts w:eastAsia="Times New Roman" w:cs="Times New Roman"/>
                <w:color w:val="000000"/>
                <w:sz w:val="20"/>
              </w:rPr>
              <w:t>10,3%</w:t>
            </w:r>
          </w:p>
        </w:tc>
      </w:tr>
      <w:tr w:rsidR="00A83EC5" w:rsidRPr="00C90096" w:rsidTr="00EE4A73">
        <w:trPr>
          <w:trHeight w:val="255"/>
        </w:trPr>
        <w:tc>
          <w:tcPr>
            <w:tcW w:w="3097" w:type="pct"/>
            <w:shd w:val="clear" w:color="auto" w:fill="auto"/>
            <w:vAlign w:val="bottom"/>
            <w:hideMark/>
          </w:tcPr>
          <w:p w:rsidR="00A83EC5" w:rsidRPr="00904E14" w:rsidRDefault="00A83EC5" w:rsidP="00A83EC5">
            <w:pPr>
              <w:spacing w:before="80" w:after="80" w:line="240" w:lineRule="auto"/>
              <w:jc w:val="left"/>
              <w:rPr>
                <w:rFonts w:eastAsia="Times New Roman" w:cs="Times New Roman"/>
                <w:color w:val="000000"/>
                <w:sz w:val="20"/>
              </w:rPr>
            </w:pPr>
            <w:r w:rsidRPr="00904E14">
              <w:rPr>
                <w:rFonts w:eastAsia="Times New Roman" w:cs="Times New Roman"/>
                <w:color w:val="000000"/>
                <w:sz w:val="20"/>
              </w:rPr>
              <w:t>pozostałe przyczyny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A83EC5" w:rsidRPr="00904E14" w:rsidRDefault="00A83EC5" w:rsidP="00A83EC5">
            <w:pPr>
              <w:spacing w:before="80" w:after="8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904E14">
              <w:rPr>
                <w:rFonts w:eastAsia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A83EC5" w:rsidRPr="00904E14" w:rsidRDefault="00A83EC5" w:rsidP="00A83EC5">
            <w:pPr>
              <w:spacing w:before="80" w:after="8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904E14">
              <w:rPr>
                <w:rFonts w:eastAsia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:rsidR="00A83EC5" w:rsidRPr="00904E14" w:rsidRDefault="00A83EC5" w:rsidP="00A83EC5">
            <w:pPr>
              <w:spacing w:before="80" w:after="8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904E14">
              <w:rPr>
                <w:rFonts w:eastAsia="Times New Roman" w:cs="Times New Roman"/>
                <w:color w:val="000000"/>
                <w:sz w:val="20"/>
              </w:rPr>
              <w:t>-</w:t>
            </w:r>
          </w:p>
        </w:tc>
      </w:tr>
      <w:tr w:rsidR="00A83EC5" w:rsidRPr="00C90096" w:rsidTr="00EE4A73">
        <w:trPr>
          <w:trHeight w:val="255"/>
        </w:trPr>
        <w:tc>
          <w:tcPr>
            <w:tcW w:w="3097" w:type="pct"/>
            <w:shd w:val="clear" w:color="auto" w:fill="auto"/>
            <w:vAlign w:val="bottom"/>
            <w:hideMark/>
          </w:tcPr>
          <w:p w:rsidR="00A83EC5" w:rsidRPr="00904E14" w:rsidRDefault="00A83EC5" w:rsidP="00A83EC5">
            <w:pPr>
              <w:spacing w:before="80" w:after="80" w:line="240" w:lineRule="auto"/>
              <w:jc w:val="left"/>
              <w:rPr>
                <w:rFonts w:eastAsia="Times New Roman" w:cs="Times New Roman"/>
                <w:color w:val="000000"/>
                <w:sz w:val="20"/>
              </w:rPr>
            </w:pPr>
            <w:r w:rsidRPr="00904E14">
              <w:rPr>
                <w:rFonts w:eastAsia="Times New Roman" w:cs="Times New Roman"/>
                <w:color w:val="000000"/>
                <w:sz w:val="20"/>
              </w:rPr>
              <w:t>wady rozwojowe wrodzone, zniekształcenia i aberracje chromosomowe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A83EC5" w:rsidRPr="00904E14" w:rsidRDefault="00A83EC5" w:rsidP="00A83EC5">
            <w:pPr>
              <w:spacing w:before="80" w:after="8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904E14">
              <w:rPr>
                <w:rFonts w:eastAsia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A83EC5" w:rsidRPr="00904E14" w:rsidRDefault="00A83EC5" w:rsidP="00A83EC5">
            <w:pPr>
              <w:spacing w:before="80" w:after="8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904E14">
              <w:rPr>
                <w:rFonts w:eastAsia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:rsidR="00A83EC5" w:rsidRPr="00904E14" w:rsidRDefault="00A83EC5" w:rsidP="00A83EC5">
            <w:pPr>
              <w:spacing w:before="80" w:after="8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904E14">
              <w:rPr>
                <w:rFonts w:eastAsia="Times New Roman" w:cs="Times New Roman"/>
                <w:color w:val="000000"/>
                <w:sz w:val="20"/>
              </w:rPr>
              <w:t>-100,0%</w:t>
            </w:r>
          </w:p>
        </w:tc>
      </w:tr>
      <w:tr w:rsidR="00A83EC5" w:rsidRPr="00C90096" w:rsidTr="00EE4A73">
        <w:trPr>
          <w:trHeight w:val="510"/>
        </w:trPr>
        <w:tc>
          <w:tcPr>
            <w:tcW w:w="3097" w:type="pct"/>
            <w:shd w:val="clear" w:color="auto" w:fill="auto"/>
            <w:vAlign w:val="bottom"/>
            <w:hideMark/>
          </w:tcPr>
          <w:p w:rsidR="00A83EC5" w:rsidRPr="00904E14" w:rsidRDefault="00A83EC5" w:rsidP="00A83EC5">
            <w:pPr>
              <w:spacing w:before="80" w:after="80" w:line="240" w:lineRule="auto"/>
              <w:jc w:val="left"/>
              <w:rPr>
                <w:rFonts w:eastAsia="Times New Roman" w:cs="Times New Roman"/>
                <w:color w:val="000000"/>
                <w:sz w:val="20"/>
              </w:rPr>
            </w:pPr>
            <w:r w:rsidRPr="00904E14">
              <w:rPr>
                <w:rFonts w:eastAsia="Times New Roman" w:cs="Times New Roman"/>
                <w:color w:val="000000"/>
                <w:sz w:val="20"/>
              </w:rPr>
              <w:t>zaburzenia wydzielania wewnętrznego, stanu odżywiania i przemiany metabolicznej ogółem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A83EC5" w:rsidRPr="00904E14" w:rsidRDefault="00A83EC5" w:rsidP="00A83EC5">
            <w:pPr>
              <w:spacing w:before="80" w:after="8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904E14">
              <w:rPr>
                <w:rFonts w:eastAsia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A83EC5" w:rsidRPr="00904E14" w:rsidRDefault="00A83EC5" w:rsidP="00A83EC5">
            <w:pPr>
              <w:spacing w:before="80" w:after="8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904E14">
              <w:rPr>
                <w:rFonts w:eastAsia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:rsidR="00A83EC5" w:rsidRPr="00904E14" w:rsidRDefault="00A83EC5" w:rsidP="00A83EC5">
            <w:pPr>
              <w:spacing w:before="80" w:after="8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904E14">
              <w:rPr>
                <w:rFonts w:eastAsia="Times New Roman" w:cs="Times New Roman"/>
                <w:color w:val="000000"/>
                <w:sz w:val="20"/>
              </w:rPr>
              <w:t>-30,0%</w:t>
            </w:r>
          </w:p>
        </w:tc>
      </w:tr>
      <w:tr w:rsidR="00A83EC5" w:rsidRPr="00C90096" w:rsidTr="00EE4A73">
        <w:trPr>
          <w:trHeight w:val="255"/>
        </w:trPr>
        <w:tc>
          <w:tcPr>
            <w:tcW w:w="3097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A83EC5" w:rsidRPr="00904E14" w:rsidRDefault="00A83EC5" w:rsidP="00A83EC5">
            <w:pPr>
              <w:spacing w:before="80" w:after="80" w:line="240" w:lineRule="auto"/>
              <w:jc w:val="left"/>
              <w:rPr>
                <w:rFonts w:eastAsia="Times New Roman" w:cs="Times New Roman"/>
                <w:color w:val="000000"/>
                <w:sz w:val="20"/>
              </w:rPr>
            </w:pPr>
            <w:r w:rsidRPr="00904E14">
              <w:rPr>
                <w:rFonts w:eastAsia="Times New Roman" w:cs="Times New Roman"/>
                <w:color w:val="000000"/>
                <w:sz w:val="20"/>
              </w:rPr>
              <w:t>zewnętrzne przyczyny zachorowania i zgonu - ogółem</w:t>
            </w:r>
          </w:p>
        </w:tc>
        <w:tc>
          <w:tcPr>
            <w:tcW w:w="59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EC5" w:rsidRPr="00904E14" w:rsidRDefault="00A83EC5" w:rsidP="00A83EC5">
            <w:pPr>
              <w:spacing w:before="80" w:after="8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904E14">
              <w:rPr>
                <w:rFonts w:eastAsia="Times New Roman" w:cs="Times New Roman"/>
                <w:color w:val="000000"/>
                <w:sz w:val="20"/>
              </w:rPr>
              <w:t>47</w:t>
            </w:r>
          </w:p>
        </w:tc>
        <w:tc>
          <w:tcPr>
            <w:tcW w:w="55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EC5" w:rsidRPr="00904E14" w:rsidRDefault="00A83EC5" w:rsidP="00A83EC5">
            <w:pPr>
              <w:spacing w:before="80" w:after="8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904E14">
              <w:rPr>
                <w:rFonts w:eastAsia="Times New Roman" w:cs="Times New Roman"/>
                <w:color w:val="000000"/>
                <w:sz w:val="20"/>
              </w:rPr>
              <w:t>33</w:t>
            </w:r>
          </w:p>
        </w:tc>
        <w:tc>
          <w:tcPr>
            <w:tcW w:w="75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EC5" w:rsidRPr="00904E14" w:rsidRDefault="00A83EC5" w:rsidP="00A83EC5">
            <w:pPr>
              <w:spacing w:before="80" w:after="8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904E14">
              <w:rPr>
                <w:rFonts w:eastAsia="Times New Roman" w:cs="Times New Roman"/>
                <w:color w:val="000000"/>
                <w:sz w:val="20"/>
              </w:rPr>
              <w:t>-29,8%</w:t>
            </w:r>
          </w:p>
        </w:tc>
      </w:tr>
      <w:tr w:rsidR="00A83EC5" w:rsidRPr="00C90096" w:rsidTr="00EE4A73">
        <w:trPr>
          <w:trHeight w:val="255"/>
        </w:trPr>
        <w:tc>
          <w:tcPr>
            <w:tcW w:w="3097" w:type="pct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A83EC5" w:rsidRPr="00C90096" w:rsidRDefault="00A83EC5" w:rsidP="00A83EC5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color w:val="000000"/>
                <w:sz w:val="20"/>
              </w:rPr>
            </w:pPr>
            <w:r w:rsidRPr="00C90096">
              <w:rPr>
                <w:rFonts w:eastAsia="Times New Roman" w:cs="Times New Roman"/>
                <w:b/>
                <w:color w:val="000000"/>
                <w:sz w:val="20"/>
              </w:rPr>
              <w:t>Suma końcowa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EC5" w:rsidRPr="00C90096" w:rsidRDefault="00A83EC5" w:rsidP="00A83EC5">
            <w:pPr>
              <w:spacing w:before="80" w:after="80" w:line="240" w:lineRule="auto"/>
              <w:jc w:val="right"/>
              <w:rPr>
                <w:rFonts w:eastAsia="Times New Roman" w:cs="Times New Roman"/>
                <w:b/>
                <w:color w:val="000000"/>
                <w:sz w:val="20"/>
              </w:rPr>
            </w:pPr>
            <w:r w:rsidRPr="00C90096">
              <w:rPr>
                <w:rFonts w:eastAsia="Times New Roman" w:cs="Times New Roman"/>
                <w:b/>
                <w:color w:val="000000"/>
                <w:sz w:val="20"/>
              </w:rPr>
              <w:t>459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EC5" w:rsidRPr="00C90096" w:rsidRDefault="00A83EC5" w:rsidP="00A83EC5">
            <w:pPr>
              <w:spacing w:before="80" w:after="80" w:line="240" w:lineRule="auto"/>
              <w:jc w:val="right"/>
              <w:rPr>
                <w:rFonts w:eastAsia="Times New Roman" w:cs="Times New Roman"/>
                <w:b/>
                <w:color w:val="000000"/>
                <w:sz w:val="20"/>
              </w:rPr>
            </w:pPr>
            <w:r w:rsidRPr="00C90096">
              <w:rPr>
                <w:rFonts w:eastAsia="Times New Roman" w:cs="Times New Roman"/>
                <w:b/>
                <w:color w:val="000000"/>
                <w:sz w:val="20"/>
              </w:rPr>
              <w:t>540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83EC5" w:rsidRPr="00C90096" w:rsidRDefault="00A83EC5" w:rsidP="00A83EC5">
            <w:pPr>
              <w:spacing w:before="80" w:after="80" w:line="240" w:lineRule="auto"/>
              <w:jc w:val="right"/>
              <w:rPr>
                <w:rFonts w:eastAsia="Times New Roman" w:cs="Times New Roman"/>
                <w:b/>
                <w:color w:val="000000"/>
                <w:sz w:val="20"/>
              </w:rPr>
            </w:pPr>
            <w:r w:rsidRPr="00A83EC5">
              <w:rPr>
                <w:rFonts w:eastAsia="Times New Roman" w:cs="Times New Roman"/>
                <w:b/>
                <w:color w:val="000000"/>
                <w:sz w:val="20"/>
              </w:rPr>
              <w:t>17,7</w:t>
            </w:r>
            <w:r w:rsidRPr="00C90096">
              <w:rPr>
                <w:rFonts w:eastAsia="Times New Roman" w:cs="Times New Roman"/>
                <w:b/>
                <w:color w:val="000000"/>
                <w:sz w:val="20"/>
              </w:rPr>
              <w:t>%</w:t>
            </w:r>
          </w:p>
        </w:tc>
      </w:tr>
    </w:tbl>
    <w:p w:rsidR="003C443D" w:rsidRPr="000C1EEE" w:rsidRDefault="00C03A37" w:rsidP="000C1EEE">
      <w:pPr>
        <w:spacing w:after="240" w:line="240" w:lineRule="auto"/>
        <w:jc w:val="left"/>
        <w:rPr>
          <w:sz w:val="20"/>
        </w:rPr>
      </w:pPr>
      <w:r w:rsidRPr="00341348">
        <w:rPr>
          <w:sz w:val="20"/>
        </w:rPr>
        <w:t xml:space="preserve">Źródło: </w:t>
      </w:r>
      <w:r w:rsidRPr="00C03A37">
        <w:rPr>
          <w:i/>
          <w:sz w:val="20"/>
        </w:rPr>
        <w:t>Zgony wg przyczyn</w:t>
      </w:r>
      <w:r w:rsidRPr="00341348">
        <w:rPr>
          <w:sz w:val="20"/>
        </w:rPr>
        <w:t xml:space="preserve">, </w:t>
      </w:r>
      <w:r>
        <w:rPr>
          <w:sz w:val="20"/>
        </w:rPr>
        <w:t xml:space="preserve">Główny Urząd Statystyczny, </w:t>
      </w:r>
      <w:hyperlink r:id="rId12" w:history="1">
        <w:r w:rsidRPr="007421D8">
          <w:rPr>
            <w:rStyle w:val="Hipercze"/>
            <w:sz w:val="20"/>
          </w:rPr>
          <w:t>http://stat.gov.pl/</w:t>
        </w:r>
      </w:hyperlink>
      <w:r>
        <w:rPr>
          <w:sz w:val="20"/>
        </w:rPr>
        <w:t>.</w:t>
      </w:r>
    </w:p>
    <w:p w:rsidR="003C443D" w:rsidRDefault="003C443D" w:rsidP="00B26C97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6086475" cy="4314825"/>
            <wp:effectExtent l="0" t="0" r="0" b="0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C443D" w:rsidRDefault="003C443D" w:rsidP="003C443D">
      <w:pPr>
        <w:pStyle w:val="Legenda"/>
      </w:pPr>
      <w:bookmarkStart w:id="6" w:name="_Ref387477261"/>
      <w:r>
        <w:t xml:space="preserve">Wykres </w:t>
      </w:r>
      <w:r w:rsidR="00967BA4">
        <w:fldChar w:fldCharType="begin"/>
      </w:r>
      <w:r>
        <w:instrText xml:space="preserve"> SEQ Wykres \* ARABIC </w:instrText>
      </w:r>
      <w:r w:rsidR="00967BA4">
        <w:fldChar w:fldCharType="separate"/>
      </w:r>
      <w:r w:rsidR="00D0726E">
        <w:rPr>
          <w:noProof/>
        </w:rPr>
        <w:t>2</w:t>
      </w:r>
      <w:r w:rsidR="00967BA4">
        <w:fldChar w:fldCharType="end"/>
      </w:r>
      <w:bookmarkEnd w:id="6"/>
      <w:r w:rsidRPr="00C03A37">
        <w:t>Zgony wg przyczyn</w:t>
      </w:r>
      <w:r>
        <w:t xml:space="preserve"> w powiecie świdwińskim dla lat 2009 i 2012 – ujęcie graficzne</w:t>
      </w:r>
    </w:p>
    <w:p w:rsidR="003C443D" w:rsidRDefault="003C443D" w:rsidP="00B64AA3">
      <w:pPr>
        <w:spacing w:after="240" w:line="240" w:lineRule="auto"/>
        <w:jc w:val="center"/>
        <w:rPr>
          <w:sz w:val="20"/>
        </w:rPr>
      </w:pPr>
      <w:r w:rsidRPr="00341348">
        <w:rPr>
          <w:sz w:val="20"/>
        </w:rPr>
        <w:t xml:space="preserve">Źródło: </w:t>
      </w:r>
      <w:r w:rsidRPr="00C03A37">
        <w:rPr>
          <w:i/>
          <w:sz w:val="20"/>
        </w:rPr>
        <w:t>Zgony wg przyczyn</w:t>
      </w:r>
      <w:r w:rsidRPr="00341348">
        <w:rPr>
          <w:sz w:val="20"/>
        </w:rPr>
        <w:t xml:space="preserve">, </w:t>
      </w:r>
      <w:r>
        <w:rPr>
          <w:sz w:val="20"/>
        </w:rPr>
        <w:t xml:space="preserve">Główny Urząd Statystyczny, </w:t>
      </w:r>
      <w:hyperlink r:id="rId14" w:history="1">
        <w:r w:rsidRPr="007421D8">
          <w:rPr>
            <w:rStyle w:val="Hipercze"/>
            <w:sz w:val="20"/>
          </w:rPr>
          <w:t>http://stat.gov.pl/</w:t>
        </w:r>
      </w:hyperlink>
      <w:r>
        <w:rPr>
          <w:sz w:val="20"/>
        </w:rPr>
        <w:t>.</w:t>
      </w:r>
    </w:p>
    <w:p w:rsidR="00B26C97" w:rsidRDefault="00B26C97" w:rsidP="00B26C97">
      <w:pPr>
        <w:rPr>
          <w:sz w:val="18"/>
        </w:rPr>
      </w:pPr>
      <w:r>
        <w:rPr>
          <w:sz w:val="18"/>
        </w:rPr>
        <w:t>Legenda:</w:t>
      </w:r>
    </w:p>
    <w:p w:rsidR="00B26C97" w:rsidRDefault="00B26C97" w:rsidP="006B7F81">
      <w:pPr>
        <w:spacing w:after="120"/>
        <w:rPr>
          <w:sz w:val="18"/>
        </w:rPr>
      </w:pPr>
      <w:r w:rsidRPr="00EF7AC2">
        <w:rPr>
          <w:sz w:val="18"/>
        </w:rPr>
        <w:t xml:space="preserve">1 - niektóre choroby zakaźne i pasożytnicze ogółem; 2 - nowotwory ogółem; 3 - choroby krwi i narządów krwiotwórczych oraz niektóre choroby przebiegające z udziałem mechanizmów autoimmunologicznych; 4 - zaburzenia wydzielania wewnętrznego, stanu odżywiania i przemiany metabolicznej ogółem; 5 - choroby układu nerwowego ogółem; 6 - choroby układu krążenia ogółem; 7 - choroby układu oddechowego ogółem; 8 - choroby układu trawiennego ogółem; 9 - choroby układu </w:t>
      </w:r>
      <w:proofErr w:type="spellStart"/>
      <w:r w:rsidRPr="00EF7AC2">
        <w:rPr>
          <w:sz w:val="18"/>
        </w:rPr>
        <w:t>kostnostawowego</w:t>
      </w:r>
      <w:proofErr w:type="spellEnd"/>
      <w:r w:rsidRPr="00EF7AC2">
        <w:rPr>
          <w:sz w:val="18"/>
        </w:rPr>
        <w:t>, mięśniowego i tkanki łącznej; 10 - choroby układu moczowo-płciowego; 11 - niektóre stany rozpoczynające się w okresie okołoporodowym; 12 - wady rozwojowe wrodzone, zniekształcenia i aberracje chromosomowe; 13 - objawy, cechy chorobowe oraz nieprawidłowe wyniki badań klinicznych, laboratoryjnych gdzie indziej niesklasyfikowane; 14 - zewnętrzne przyczyny zachorowania i zgonu – ogó</w:t>
      </w:r>
      <w:r>
        <w:rPr>
          <w:sz w:val="18"/>
        </w:rPr>
        <w:t>łem; 15 - pozostałe przyczyny.</w:t>
      </w:r>
    </w:p>
    <w:p w:rsidR="002A1698" w:rsidRPr="00AB2216" w:rsidRDefault="002A1698" w:rsidP="002A1698">
      <w:pPr>
        <w:ind w:firstLine="720"/>
      </w:pPr>
      <w:r>
        <w:lastRenderedPageBreak/>
        <w:t>W bezwzglę</w:t>
      </w:r>
      <w:r w:rsidR="006B7F81">
        <w:t>dnej liczbie zgonów w powiecie świdwińskim</w:t>
      </w:r>
      <w:r>
        <w:t xml:space="preserve"> w latach 2009-2012 dominują zgony mężczyzn. Liczebność tej grupy wahała się z roku na rok, przyjmując wartości skokowe, jednak mimo </w:t>
      </w:r>
      <w:r w:rsidRPr="00AB2216">
        <w:t>tego liczba zgonów mężczyzn znac</w:t>
      </w:r>
      <w:r w:rsidR="006B7F81" w:rsidRPr="00AB2216">
        <w:t>znie przewyższała zgony kobiet</w:t>
      </w:r>
      <w:r w:rsidRPr="00AB2216">
        <w:t xml:space="preserve">. </w:t>
      </w:r>
    </w:p>
    <w:p w:rsidR="002A1698" w:rsidRDefault="002A1698" w:rsidP="00C11885">
      <w:pPr>
        <w:ind w:firstLine="720"/>
      </w:pPr>
      <w:r w:rsidRPr="00AB2216">
        <w:t xml:space="preserve">Ocenę potrzeb zdrowotnych, bazującą na danych dotyczących śmiertelności, uzupełniono o dane statystyczne odnoszące się do popytu na porady medyczne </w:t>
      </w:r>
      <w:r w:rsidR="00AB2216" w:rsidRPr="00AB2216">
        <w:t>ogółem</w:t>
      </w:r>
      <w:r w:rsidRPr="00AB2216">
        <w:t xml:space="preserve">. Informacje zgromadzono przeprowadzając badanie kwestionariuszowe w największej placówce medycznej powiatu, tj. </w:t>
      </w:r>
      <w:r w:rsidR="00AB2216" w:rsidRPr="00AB2216">
        <w:t>Szpitalu Polskim w Połczynie Zdrój.</w:t>
      </w:r>
      <w:r w:rsidRPr="00AB2216">
        <w:t xml:space="preserve"> Z usług poradni specjalistycznych </w:t>
      </w:r>
      <w:r w:rsidR="00AB2216" w:rsidRPr="00AB2216">
        <w:t>placówki</w:t>
      </w:r>
      <w:r w:rsidRPr="00AB2216">
        <w:t xml:space="preserve"> korzysta rokrocznie znacznie ponad </w:t>
      </w:r>
      <w:r w:rsidR="00AB2216" w:rsidRPr="00AB2216">
        <w:t>18 000 osób. Ponadto inne placówki medyczne, które wzięły udział w badaniu kwestionariuszowym udzieliły w 2013 roku odpowiednio: NZOZ Medyk S.C ponad 55 000 porad, Przychodnia Medycyny Rodzinnej „Promyk” ponad 16 700 porad. NZOZ Brzeźno prawie 2 000 porad.</w:t>
      </w:r>
      <w:r w:rsidR="00AB2216">
        <w:t xml:space="preserve"> Biorąc pod uwagę liczbę mieszkańców powiatu, ocenia się, że popyt na usługi medyczne jest wysoki.</w:t>
      </w:r>
    </w:p>
    <w:p w:rsidR="0031158C" w:rsidRDefault="003020BF" w:rsidP="0031158C">
      <w:pPr>
        <w:ind w:firstLine="720"/>
      </w:pPr>
      <w:r>
        <w:t xml:space="preserve">Wyboru obszaru problemowego dokonano na podstawie danych </w:t>
      </w:r>
      <w:proofErr w:type="spellStart"/>
      <w:r>
        <w:t>NIZP-PZH</w:t>
      </w:r>
      <w:proofErr w:type="spellEnd"/>
      <w:r>
        <w:t xml:space="preserve">, danych GUS oraz dotychczas prowadzonych kampanii promujących zdrowie. Według danych </w:t>
      </w:r>
      <w:proofErr w:type="spellStart"/>
      <w:r>
        <w:t>NIZP-PZH</w:t>
      </w:r>
      <w:proofErr w:type="spellEnd"/>
      <w:r>
        <w:t>, najwyższy wskaźnik SMR występuje w przypadku tzw. przyczyn zewnętrznych</w:t>
      </w:r>
      <w:r w:rsidR="00FE4F4E">
        <w:t>, głównie samobójstw,</w:t>
      </w:r>
      <w:r>
        <w:t xml:space="preserve"> oraz chorób układu </w:t>
      </w:r>
      <w:r w:rsidR="00E11286">
        <w:t>trawiennego (</w:t>
      </w:r>
      <w:proofErr w:type="spellStart"/>
      <w:r w:rsidR="00E11286">
        <w:t>ChUT</w:t>
      </w:r>
      <w:proofErr w:type="spellEnd"/>
      <w:r w:rsidR="00E11286">
        <w:t xml:space="preserve">), co stanowiło punkt wyjścia do dalszych analiz. Wprawdzie bezwzględna liczba zgonów jest wyższa w przypadku przyczyn zewnętrznych, jednakże porównując dynamikę śmiertelności, notuje się wzrost śmiertelności w związku </w:t>
      </w:r>
      <w:proofErr w:type="spellStart"/>
      <w:r w:rsidR="00E11286">
        <w:t>ChUT</w:t>
      </w:r>
      <w:proofErr w:type="spellEnd"/>
      <w:r w:rsidR="00E11286">
        <w:t>.</w:t>
      </w:r>
    </w:p>
    <w:p w:rsidR="00CF62D5" w:rsidRDefault="0031158C" w:rsidP="00CF62D5">
      <w:pPr>
        <w:ind w:firstLine="720"/>
      </w:pPr>
      <w:r>
        <w:t>Spadek dynamiki liczby zgonów następujących z przyczyn zewnętrznych jest wynikiem prowadzonych na terenie powiatu programów i kam</w:t>
      </w:r>
      <w:r w:rsidR="00514504">
        <w:t xml:space="preserve">panii promocyjnych ukierunkowanych głównie na przeciwdziałanie występowaniu czynników </w:t>
      </w:r>
      <w:r w:rsidR="00514504" w:rsidRPr="00514504">
        <w:t xml:space="preserve">ryzyka </w:t>
      </w:r>
      <w:proofErr w:type="spellStart"/>
      <w:r w:rsidR="00514504" w:rsidRPr="00514504">
        <w:t>suicydalnego</w:t>
      </w:r>
      <w:proofErr w:type="spellEnd"/>
      <w:r w:rsidR="00514504">
        <w:t xml:space="preserve">. Główne czynniki ryzyka to depresja, alkohol, </w:t>
      </w:r>
      <w:r w:rsidR="00CF62D5">
        <w:t xml:space="preserve">używki, </w:t>
      </w:r>
      <w:r w:rsidR="00514504">
        <w:t xml:space="preserve">przemoc w rodzinie, nagłe pogorszenie statusu </w:t>
      </w:r>
      <w:proofErr w:type="spellStart"/>
      <w:r w:rsidR="00514504">
        <w:t>materialnego</w:t>
      </w:r>
      <w:r w:rsidR="00CF62D5">
        <w:t>.Samorząd</w:t>
      </w:r>
      <w:proofErr w:type="spellEnd"/>
      <w:r w:rsidR="00CF62D5">
        <w:t xml:space="preserve"> Powiatu Świdwińskiego</w:t>
      </w:r>
      <w:r w:rsidR="00FE4F4E">
        <w:t xml:space="preserve"> prowadzi w/w działania</w:t>
      </w:r>
      <w:r w:rsidR="00CF62D5">
        <w:t xml:space="preserve"> przy pomocy swoich jednostek organizacyjnych, w tym Powiatowego Centrum Pomocy Rodzinie w Świdwinie, Poradni Psychologiczno-Pedagogicznej w Świdwinie</w:t>
      </w:r>
      <w:r w:rsidR="00F201B8">
        <w:t>, placówek edukacyjnych</w:t>
      </w:r>
      <w:r w:rsidR="00CF62D5">
        <w:t xml:space="preserve"> oraz Powia</w:t>
      </w:r>
      <w:r w:rsidR="00F201B8">
        <w:t>towego Urzędu Pracy w Świdwinie</w:t>
      </w:r>
      <w:r w:rsidR="003C4613">
        <w:t>.</w:t>
      </w:r>
    </w:p>
    <w:p w:rsidR="00CF62D5" w:rsidRDefault="00FE4F4E" w:rsidP="00CF62D5">
      <w:r>
        <w:tab/>
      </w:r>
      <w:r w:rsidR="003C4613">
        <w:t xml:space="preserve">Jednym z najważniejszych działań, jakie samorząd Powiatu Świdwińskiego podjął dla poprawy sytuacji społecznej na obszarze właściwości terytorialnej jest projekt pod nazwą </w:t>
      </w:r>
      <w:r w:rsidR="003C4613" w:rsidRPr="003C4613">
        <w:rPr>
          <w:i/>
        </w:rPr>
        <w:t>Razem przeciwko razom</w:t>
      </w:r>
      <w:r w:rsidR="003C4613">
        <w:t xml:space="preserve">. Projekt jest ukierunkowany na przeciwdziałanie przemocy w rodzinie i wsparcie tych rodzin, które są zagrożone </w:t>
      </w:r>
      <w:r w:rsidR="004E0777">
        <w:t>ryzykiem przemocy.</w:t>
      </w:r>
    </w:p>
    <w:p w:rsidR="00FE4F4E" w:rsidRDefault="00CF62D5" w:rsidP="00700C04">
      <w:pPr>
        <w:ind w:firstLine="720"/>
      </w:pPr>
      <w:r>
        <w:lastRenderedPageBreak/>
        <w:t xml:space="preserve">W szkołach i placówkach edukacyjnych realizowane są programy ukierunkowane na ochronę dzieci i młodzieży przed zagrożeniami, w tym także czynnikami generującymi ryzyko </w:t>
      </w:r>
      <w:proofErr w:type="spellStart"/>
      <w:r>
        <w:t>suicydalne</w:t>
      </w:r>
      <w:proofErr w:type="spellEnd"/>
      <w:r>
        <w:t>. Między innymi</w:t>
      </w:r>
      <w:r w:rsidR="00FE4F4E">
        <w:t>:</w:t>
      </w:r>
    </w:p>
    <w:p w:rsidR="00FE4F4E" w:rsidRDefault="00F201B8" w:rsidP="00FE4F4E">
      <w:pPr>
        <w:pStyle w:val="Akapitzlist"/>
        <w:numPr>
          <w:ilvl w:val="0"/>
          <w:numId w:val="3"/>
        </w:numPr>
      </w:pPr>
      <w:r>
        <w:t xml:space="preserve">wdrożono programy </w:t>
      </w:r>
      <w:r w:rsidR="00700C04">
        <w:t>mające</w:t>
      </w:r>
      <w:r w:rsidR="00CF62D5">
        <w:t xml:space="preserve"> na celu uświado</w:t>
      </w:r>
      <w:r w:rsidR="00700C04">
        <w:t>mienie problematyki uzależnień oraz wp</w:t>
      </w:r>
      <w:r w:rsidR="00CF62D5">
        <w:t>rowadzono profilaktykę uzależnień, polegającą na re</w:t>
      </w:r>
      <w:r w:rsidR="00700C04">
        <w:t xml:space="preserve">alizowaniu w programie zajęć tematów </w:t>
      </w:r>
      <w:r w:rsidR="00CF62D5">
        <w:t>o szkodliwości napojów alkoholowych, pa</w:t>
      </w:r>
      <w:r w:rsidR="00FE4F4E">
        <w:t>pierosów i środków odurzających;</w:t>
      </w:r>
    </w:p>
    <w:p w:rsidR="00CF62D5" w:rsidRDefault="00FE4F4E" w:rsidP="004E0777">
      <w:pPr>
        <w:pStyle w:val="Akapitzlist"/>
        <w:numPr>
          <w:ilvl w:val="0"/>
          <w:numId w:val="3"/>
        </w:numPr>
      </w:pPr>
      <w:r>
        <w:t>udzielano porad i wsparcia dla osób z problemami życiowymi w ramach cotygodniowych dyżurów.</w:t>
      </w:r>
    </w:p>
    <w:p w:rsidR="00755205" w:rsidRDefault="00755205" w:rsidP="00755205">
      <w:pPr>
        <w:ind w:firstLine="720"/>
      </w:pPr>
      <w:r>
        <w:t>Mając na względzie wartość wskaźników SMR, dynamikę zmian śmiertelności oraz dotychczasowe działania Powiatu Świdwińskiego w obszarze przeciwdziałania zewnętrznym przyczynom zgonów, obszar interwencji będzie dotyczył chorób układu trawiennego.</w:t>
      </w:r>
    </w:p>
    <w:p w:rsidR="00F17F12" w:rsidRDefault="00F17F12" w:rsidP="00F17F12">
      <w:pPr>
        <w:pStyle w:val="Nagwek2"/>
      </w:pPr>
      <w:bookmarkStart w:id="7" w:name="_Toc389078566"/>
      <w:r>
        <w:t>2. Analiza społeczno-ekonomiczna</w:t>
      </w:r>
      <w:bookmarkEnd w:id="7"/>
    </w:p>
    <w:p w:rsidR="005B487D" w:rsidRDefault="005B487D" w:rsidP="004910F5">
      <w:pPr>
        <w:rPr>
          <w:sz w:val="23"/>
          <w:szCs w:val="23"/>
        </w:rPr>
      </w:pPr>
      <w:r>
        <w:rPr>
          <w:sz w:val="23"/>
          <w:szCs w:val="23"/>
        </w:rPr>
        <w:t>A</w:t>
      </w:r>
      <w:r w:rsidRPr="005B487D">
        <w:rPr>
          <w:sz w:val="23"/>
          <w:szCs w:val="23"/>
        </w:rPr>
        <w:t xml:space="preserve">nalizę społeczno-ekonomiczną </w:t>
      </w:r>
      <w:proofErr w:type="spellStart"/>
      <w:r w:rsidRPr="005B487D">
        <w:rPr>
          <w:sz w:val="23"/>
          <w:szCs w:val="23"/>
        </w:rPr>
        <w:t>populacji</w:t>
      </w:r>
      <w:r w:rsidR="00C93AA2" w:rsidRPr="00F17F12">
        <w:rPr>
          <w:sz w:val="23"/>
          <w:szCs w:val="23"/>
        </w:rPr>
        <w:t>powiatu</w:t>
      </w:r>
      <w:proofErr w:type="spellEnd"/>
      <w:r w:rsidR="00C93AA2" w:rsidRPr="00F17F12">
        <w:rPr>
          <w:sz w:val="23"/>
          <w:szCs w:val="23"/>
        </w:rPr>
        <w:t xml:space="preserve"> </w:t>
      </w:r>
      <w:r w:rsidR="00F17F12">
        <w:rPr>
          <w:sz w:val="23"/>
          <w:szCs w:val="23"/>
        </w:rPr>
        <w:t>świdwińskiego</w:t>
      </w:r>
      <w:r w:rsidRPr="005B487D">
        <w:rPr>
          <w:sz w:val="23"/>
          <w:szCs w:val="23"/>
        </w:rPr>
        <w:t xml:space="preserve">, </w:t>
      </w:r>
      <w:r w:rsidR="00C93AA2">
        <w:rPr>
          <w:sz w:val="23"/>
          <w:szCs w:val="23"/>
        </w:rPr>
        <w:t xml:space="preserve">przeanalizowano </w:t>
      </w:r>
      <w:r w:rsidRPr="005B487D">
        <w:rPr>
          <w:sz w:val="23"/>
          <w:szCs w:val="23"/>
        </w:rPr>
        <w:t>biorąc pod uwagę czynniki, które mają lub mogą mieć potencjalnie wpływ na stan zdrowia mieszkańców powiatu</w:t>
      </w:r>
      <w:r w:rsidR="00C93AA2">
        <w:rPr>
          <w:sz w:val="23"/>
          <w:szCs w:val="23"/>
        </w:rPr>
        <w:t>.</w:t>
      </w:r>
    </w:p>
    <w:p w:rsidR="00867323" w:rsidRDefault="00867323" w:rsidP="00867323">
      <w:pPr>
        <w:pStyle w:val="Nagwek3"/>
      </w:pPr>
      <w:bookmarkStart w:id="8" w:name="_Toc387117337"/>
      <w:bookmarkStart w:id="9" w:name="_Toc389078567"/>
      <w:r>
        <w:t>1.2.1. </w:t>
      </w:r>
      <w:proofErr w:type="spellStart"/>
      <w:r w:rsidRPr="00AF1D8E">
        <w:t>D</w:t>
      </w:r>
      <w:r>
        <w:t>emografia</w:t>
      </w:r>
      <w:bookmarkEnd w:id="8"/>
      <w:r w:rsidR="003932C8">
        <w:t>i</w:t>
      </w:r>
      <w:proofErr w:type="spellEnd"/>
      <w:r w:rsidR="003932C8">
        <w:t xml:space="preserve"> rozwój społeczny</w:t>
      </w:r>
      <w:bookmarkEnd w:id="9"/>
    </w:p>
    <w:p w:rsidR="00867323" w:rsidRDefault="00867323" w:rsidP="00867323">
      <w:pPr>
        <w:rPr>
          <w:lang w:eastAsia="pl-PL"/>
        </w:rPr>
      </w:pPr>
      <w:r>
        <w:t xml:space="preserve">Liczba ludności powiatu świdwińskiego między 2009 a 2012 r. nieznacznie wzrosła i wynosiła na koniec 2012 r. </w:t>
      </w:r>
      <w:r>
        <w:rPr>
          <w:lang w:eastAsia="pl-PL"/>
        </w:rPr>
        <w:t>48 900 osób (por.</w:t>
      </w:r>
      <w:r w:rsidR="002E5A20">
        <w:rPr>
          <w:lang w:eastAsia="pl-PL"/>
        </w:rPr>
        <w:t xml:space="preserve"> Tabela 4</w:t>
      </w:r>
      <w:r>
        <w:rPr>
          <w:lang w:eastAsia="pl-PL"/>
        </w:rPr>
        <w:t>).  Większość ludności powiatu stanowią kobiety (por.</w:t>
      </w:r>
      <w:r w:rsidR="002E5A20">
        <w:rPr>
          <w:lang w:eastAsia="pl-PL"/>
        </w:rPr>
        <w:t xml:space="preserve"> Wykres 3)</w:t>
      </w:r>
      <w:r>
        <w:rPr>
          <w:lang w:eastAsia="pl-PL"/>
        </w:rPr>
        <w:t>.</w:t>
      </w:r>
    </w:p>
    <w:p w:rsidR="00AB0F51" w:rsidRDefault="00865CCB" w:rsidP="00865CCB">
      <w:pPr>
        <w:pStyle w:val="Legenda"/>
      </w:pPr>
      <w:bookmarkStart w:id="10" w:name="_Ref387568245"/>
      <w:r>
        <w:t xml:space="preserve">Tabela </w:t>
      </w:r>
      <w:r w:rsidR="00967BA4">
        <w:fldChar w:fldCharType="begin"/>
      </w:r>
      <w:r>
        <w:instrText xml:space="preserve"> SEQ Tabela \* ARABIC </w:instrText>
      </w:r>
      <w:r w:rsidR="00967BA4">
        <w:fldChar w:fldCharType="separate"/>
      </w:r>
      <w:r w:rsidR="006C7416">
        <w:rPr>
          <w:noProof/>
        </w:rPr>
        <w:t>4</w:t>
      </w:r>
      <w:r w:rsidR="00967BA4">
        <w:fldChar w:fldCharType="end"/>
      </w:r>
      <w:bookmarkEnd w:id="10"/>
      <w:r w:rsidR="00D26D2F" w:rsidRPr="00D26D2F">
        <w:t>Ludność według płci</w:t>
      </w:r>
      <w:r w:rsidR="00D26D2F">
        <w:t xml:space="preserve"> w powiecie świdwińskim w latach 2009-2012</w:t>
      </w:r>
    </w:p>
    <w:tbl>
      <w:tblPr>
        <w:tblW w:w="5000" w:type="pct"/>
        <w:tblLook w:val="04A0"/>
      </w:tblPr>
      <w:tblGrid>
        <w:gridCol w:w="4776"/>
        <w:gridCol w:w="1354"/>
        <w:gridCol w:w="1164"/>
        <w:gridCol w:w="1164"/>
        <w:gridCol w:w="1162"/>
      </w:tblGrid>
      <w:tr w:rsidR="00AB0F51" w:rsidRPr="00AB0F51" w:rsidTr="00865CCB">
        <w:trPr>
          <w:trHeight w:val="255"/>
        </w:trPr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51" w:rsidRPr="00AB0F51" w:rsidRDefault="00AB0F51" w:rsidP="00AB0F51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AB0F51">
              <w:rPr>
                <w:rFonts w:eastAsia="Times New Roman" w:cs="Times New Roman"/>
                <w:b/>
                <w:bCs/>
                <w:color w:val="000000"/>
                <w:sz w:val="20"/>
              </w:rPr>
              <w:t>Kategoria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51" w:rsidRPr="00AB0F51" w:rsidRDefault="00AB0F51" w:rsidP="00AB0F51">
            <w:pPr>
              <w:spacing w:before="80" w:after="8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AB0F51">
              <w:rPr>
                <w:rFonts w:eastAsia="Times New Roman" w:cs="Times New Roman"/>
                <w:b/>
                <w:bCs/>
                <w:color w:val="000000"/>
                <w:sz w:val="20"/>
              </w:rPr>
              <w:t>2009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51" w:rsidRPr="00AB0F51" w:rsidRDefault="00AB0F51" w:rsidP="00AB0F51">
            <w:pPr>
              <w:spacing w:before="80" w:after="8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AB0F51">
              <w:rPr>
                <w:rFonts w:eastAsia="Times New Roman" w:cs="Times New Roman"/>
                <w:b/>
                <w:bCs/>
                <w:color w:val="000000"/>
                <w:sz w:val="20"/>
              </w:rPr>
              <w:t>2010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51" w:rsidRPr="00AB0F51" w:rsidRDefault="00AB0F51" w:rsidP="00AB0F51">
            <w:pPr>
              <w:spacing w:before="80" w:after="8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AB0F51">
              <w:rPr>
                <w:rFonts w:eastAsia="Times New Roman" w:cs="Times New Roman"/>
                <w:b/>
                <w:bCs/>
                <w:color w:val="000000"/>
                <w:sz w:val="20"/>
              </w:rPr>
              <w:t>2011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51" w:rsidRPr="00AB0F51" w:rsidRDefault="00AB0F51" w:rsidP="00AB0F51">
            <w:pPr>
              <w:spacing w:before="80" w:after="8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AB0F51">
              <w:rPr>
                <w:rFonts w:eastAsia="Times New Roman" w:cs="Times New Roman"/>
                <w:b/>
                <w:bCs/>
                <w:color w:val="000000"/>
                <w:sz w:val="20"/>
              </w:rPr>
              <w:t>2012</w:t>
            </w:r>
          </w:p>
        </w:tc>
      </w:tr>
      <w:tr w:rsidR="00AB0F51" w:rsidRPr="00AB0F51" w:rsidTr="00865CCB">
        <w:trPr>
          <w:trHeight w:val="255"/>
        </w:trPr>
        <w:tc>
          <w:tcPr>
            <w:tcW w:w="2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51" w:rsidRPr="00AB0F51" w:rsidRDefault="00AB0F51" w:rsidP="00AB0F51">
            <w:pPr>
              <w:spacing w:before="80" w:after="80" w:line="240" w:lineRule="auto"/>
              <w:jc w:val="left"/>
              <w:rPr>
                <w:rFonts w:eastAsia="Times New Roman" w:cs="Times New Roman"/>
                <w:color w:val="000000"/>
                <w:sz w:val="20"/>
              </w:rPr>
            </w:pPr>
            <w:r w:rsidRPr="00AB0F51">
              <w:rPr>
                <w:rFonts w:eastAsia="Times New Roman" w:cs="Times New Roman"/>
                <w:color w:val="000000"/>
                <w:sz w:val="20"/>
              </w:rPr>
              <w:t>kobiety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51" w:rsidRPr="00AB0F51" w:rsidRDefault="00AB0F51" w:rsidP="00AB0F51">
            <w:pPr>
              <w:spacing w:before="80" w:after="8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AB0F51">
              <w:rPr>
                <w:rFonts w:eastAsia="Times New Roman" w:cs="Times New Roman"/>
                <w:color w:val="000000"/>
                <w:sz w:val="20"/>
              </w:rPr>
              <w:t>24 699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51" w:rsidRPr="00AB0F51" w:rsidRDefault="00AB0F51" w:rsidP="00AB0F51">
            <w:pPr>
              <w:spacing w:before="80" w:after="8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AB0F51">
              <w:rPr>
                <w:rFonts w:eastAsia="Times New Roman" w:cs="Times New Roman"/>
                <w:color w:val="000000"/>
                <w:sz w:val="20"/>
              </w:rPr>
              <w:t>24 991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51" w:rsidRPr="00AB0F51" w:rsidRDefault="00AB0F51" w:rsidP="00AB0F51">
            <w:pPr>
              <w:spacing w:before="80" w:after="8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AB0F51">
              <w:rPr>
                <w:rFonts w:eastAsia="Times New Roman" w:cs="Times New Roman"/>
                <w:color w:val="000000"/>
                <w:sz w:val="20"/>
              </w:rPr>
              <w:t>24 827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51" w:rsidRPr="00AB0F51" w:rsidRDefault="00AB0F51" w:rsidP="00AB0F51">
            <w:pPr>
              <w:spacing w:before="80" w:after="8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AB0F51">
              <w:rPr>
                <w:rFonts w:eastAsia="Times New Roman" w:cs="Times New Roman"/>
                <w:color w:val="000000"/>
                <w:sz w:val="20"/>
              </w:rPr>
              <w:t>24 751</w:t>
            </w:r>
          </w:p>
        </w:tc>
      </w:tr>
      <w:tr w:rsidR="00AB0F51" w:rsidRPr="00AB0F51" w:rsidTr="00865CCB">
        <w:trPr>
          <w:trHeight w:val="255"/>
        </w:trPr>
        <w:tc>
          <w:tcPr>
            <w:tcW w:w="2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51" w:rsidRPr="00AB0F51" w:rsidRDefault="00AB0F51" w:rsidP="00AB0F51">
            <w:pPr>
              <w:spacing w:before="80" w:after="80" w:line="240" w:lineRule="auto"/>
              <w:jc w:val="left"/>
              <w:rPr>
                <w:rFonts w:eastAsia="Times New Roman" w:cs="Times New Roman"/>
                <w:color w:val="000000"/>
                <w:sz w:val="20"/>
              </w:rPr>
            </w:pPr>
            <w:r w:rsidRPr="00AB0F51">
              <w:rPr>
                <w:rFonts w:eastAsia="Times New Roman" w:cs="Times New Roman"/>
                <w:color w:val="000000"/>
                <w:sz w:val="20"/>
              </w:rPr>
              <w:t>mężczyźni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51" w:rsidRPr="00AB0F51" w:rsidRDefault="00AB0F51" w:rsidP="00AB0F51">
            <w:pPr>
              <w:spacing w:before="80" w:after="8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AB0F51">
              <w:rPr>
                <w:rFonts w:eastAsia="Times New Roman" w:cs="Times New Roman"/>
                <w:color w:val="000000"/>
                <w:sz w:val="20"/>
              </w:rPr>
              <w:t>23 771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51" w:rsidRPr="00AB0F51" w:rsidRDefault="00AB0F51" w:rsidP="00AB0F51">
            <w:pPr>
              <w:spacing w:before="80" w:after="8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AB0F51">
              <w:rPr>
                <w:rFonts w:eastAsia="Times New Roman" w:cs="Times New Roman"/>
                <w:color w:val="000000"/>
                <w:sz w:val="20"/>
              </w:rPr>
              <w:t>24 455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51" w:rsidRPr="00AB0F51" w:rsidRDefault="00AB0F51" w:rsidP="00AB0F51">
            <w:pPr>
              <w:spacing w:before="80" w:after="8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AB0F51">
              <w:rPr>
                <w:rFonts w:eastAsia="Times New Roman" w:cs="Times New Roman"/>
                <w:color w:val="000000"/>
                <w:sz w:val="20"/>
              </w:rPr>
              <w:t>24 354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51" w:rsidRPr="00AB0F51" w:rsidRDefault="00AB0F51" w:rsidP="00AB0F51">
            <w:pPr>
              <w:spacing w:before="80" w:after="8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AB0F51">
              <w:rPr>
                <w:rFonts w:eastAsia="Times New Roman" w:cs="Times New Roman"/>
                <w:color w:val="000000"/>
                <w:sz w:val="20"/>
              </w:rPr>
              <w:t>24 149</w:t>
            </w:r>
          </w:p>
        </w:tc>
      </w:tr>
      <w:tr w:rsidR="00AB0F51" w:rsidRPr="00AB0F51" w:rsidTr="00865CCB">
        <w:trPr>
          <w:trHeight w:val="255"/>
        </w:trPr>
        <w:tc>
          <w:tcPr>
            <w:tcW w:w="2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51" w:rsidRPr="00AB0F51" w:rsidRDefault="00AB0F51" w:rsidP="00AB0F51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AB0F51">
              <w:rPr>
                <w:rFonts w:eastAsia="Times New Roman" w:cs="Times New Roman"/>
                <w:b/>
                <w:bCs/>
                <w:color w:val="000000"/>
                <w:sz w:val="20"/>
              </w:rPr>
              <w:t>Populacja ogółem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51" w:rsidRPr="00AB0F51" w:rsidRDefault="00AB0F51" w:rsidP="00AB0F51">
            <w:pPr>
              <w:spacing w:before="80" w:after="8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AB0F51">
              <w:rPr>
                <w:rFonts w:eastAsia="Times New Roman" w:cs="Times New Roman"/>
                <w:b/>
                <w:bCs/>
                <w:color w:val="000000"/>
                <w:sz w:val="20"/>
              </w:rPr>
              <w:t>48 470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51" w:rsidRPr="00AB0F51" w:rsidRDefault="00AB0F51" w:rsidP="00AB0F51">
            <w:pPr>
              <w:spacing w:before="80" w:after="8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AB0F51">
              <w:rPr>
                <w:rFonts w:eastAsia="Times New Roman" w:cs="Times New Roman"/>
                <w:b/>
                <w:bCs/>
                <w:color w:val="000000"/>
                <w:sz w:val="20"/>
              </w:rPr>
              <w:t>49 446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51" w:rsidRPr="00AB0F51" w:rsidRDefault="00AB0F51" w:rsidP="00AB0F51">
            <w:pPr>
              <w:spacing w:before="80" w:after="8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AB0F51">
              <w:rPr>
                <w:rFonts w:eastAsia="Times New Roman" w:cs="Times New Roman"/>
                <w:b/>
                <w:bCs/>
                <w:color w:val="000000"/>
                <w:sz w:val="20"/>
              </w:rPr>
              <w:t>49 181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51" w:rsidRPr="00AB0F51" w:rsidRDefault="00AB0F51" w:rsidP="00AB0F51">
            <w:pPr>
              <w:spacing w:before="80" w:after="8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AB0F51">
              <w:rPr>
                <w:rFonts w:eastAsia="Times New Roman" w:cs="Times New Roman"/>
                <w:b/>
                <w:bCs/>
                <w:color w:val="000000"/>
                <w:sz w:val="20"/>
              </w:rPr>
              <w:t>48 900</w:t>
            </w:r>
          </w:p>
        </w:tc>
      </w:tr>
    </w:tbl>
    <w:p w:rsidR="00CF48DF" w:rsidRDefault="00865CCB" w:rsidP="00865CCB">
      <w:pPr>
        <w:spacing w:after="240" w:line="240" w:lineRule="auto"/>
        <w:jc w:val="left"/>
        <w:rPr>
          <w:sz w:val="20"/>
        </w:rPr>
      </w:pPr>
      <w:r w:rsidRPr="00341348">
        <w:rPr>
          <w:sz w:val="20"/>
        </w:rPr>
        <w:t xml:space="preserve">Źródło: </w:t>
      </w:r>
      <w:r w:rsidR="00D26D2F">
        <w:rPr>
          <w:i/>
          <w:sz w:val="20"/>
        </w:rPr>
        <w:t>Ludność według płci</w:t>
      </w:r>
      <w:r w:rsidRPr="00341348">
        <w:rPr>
          <w:sz w:val="20"/>
        </w:rPr>
        <w:t xml:space="preserve">, </w:t>
      </w:r>
      <w:r>
        <w:rPr>
          <w:sz w:val="20"/>
        </w:rPr>
        <w:t xml:space="preserve">Główny Urząd Statystyczny, </w:t>
      </w:r>
      <w:hyperlink r:id="rId15" w:history="1">
        <w:r w:rsidRPr="007421D8">
          <w:rPr>
            <w:rStyle w:val="Hipercze"/>
            <w:sz w:val="20"/>
          </w:rPr>
          <w:t>http://stat.gov.pl/</w:t>
        </w:r>
      </w:hyperlink>
      <w:r>
        <w:rPr>
          <w:sz w:val="20"/>
        </w:rPr>
        <w:t>.</w:t>
      </w:r>
    </w:p>
    <w:p w:rsidR="00CF48DF" w:rsidRDefault="00CF48DF" w:rsidP="00CF48DF">
      <w:pPr>
        <w:ind w:firstLine="720"/>
      </w:pPr>
      <w:r>
        <w:lastRenderedPageBreak/>
        <w:t xml:space="preserve">Średni ważony wiek populacji powiatu świdwińskiego wynosi 39,0 lat. W strukturze ludności powiatu przeważają osoby w wieku produkcyjnym, stanowiące 65,4% w 2012 </w:t>
      </w:r>
      <w:proofErr w:type="spellStart"/>
      <w:r>
        <w:t>r</w:t>
      </w:r>
      <w:proofErr w:type="spellEnd"/>
      <w:r>
        <w:rPr>
          <w:rStyle w:val="Odwoanieprzypisudolnego"/>
        </w:rPr>
        <w:footnoteReference w:id="3"/>
      </w:r>
      <w:r>
        <w:t>. Między 2009 a 2012 r. grupa ta  wraz z grupą osób w wieku przedprodukcyjnym zmniejszała się, przy jednoczesnym powiększaniu się grupy osób w wieku poprodukcyjnym</w:t>
      </w:r>
      <w:r>
        <w:rPr>
          <w:rStyle w:val="Odwoanieprzypisudolnego"/>
        </w:rPr>
        <w:footnoteReference w:id="4"/>
      </w:r>
      <w:r>
        <w:t>. Taka tendencja w strukturze wiekowej powiatu świadczy o starzeniu się społeczeństwa.</w:t>
      </w:r>
    </w:p>
    <w:p w:rsidR="003C443D" w:rsidRDefault="00D26D2F" w:rsidP="00AB0F51">
      <w:r>
        <w:rPr>
          <w:noProof/>
          <w:lang w:eastAsia="pl-PL"/>
        </w:rPr>
        <w:drawing>
          <wp:inline distT="0" distB="0" distL="0" distR="0">
            <wp:extent cx="5972175" cy="2705100"/>
            <wp:effectExtent l="0" t="0" r="9525" b="19050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26D2F" w:rsidRDefault="00D26D2F" w:rsidP="00D26D2F">
      <w:pPr>
        <w:pStyle w:val="Legenda"/>
      </w:pPr>
      <w:bookmarkStart w:id="11" w:name="_Ref387653492"/>
      <w:r>
        <w:t xml:space="preserve">Wykres </w:t>
      </w:r>
      <w:r w:rsidR="00967BA4">
        <w:fldChar w:fldCharType="begin"/>
      </w:r>
      <w:r>
        <w:instrText xml:space="preserve"> SEQ Wykres \* ARABIC </w:instrText>
      </w:r>
      <w:r w:rsidR="00967BA4">
        <w:fldChar w:fldCharType="separate"/>
      </w:r>
      <w:r w:rsidR="00D0726E">
        <w:rPr>
          <w:noProof/>
        </w:rPr>
        <w:t>3</w:t>
      </w:r>
      <w:r w:rsidR="00967BA4">
        <w:fldChar w:fldCharType="end"/>
      </w:r>
      <w:bookmarkEnd w:id="11"/>
      <w:r w:rsidR="00976D59" w:rsidRPr="00D26D2F">
        <w:t>Ludność według płci</w:t>
      </w:r>
      <w:r w:rsidR="00976D59">
        <w:t xml:space="preserve"> w powiecie świdwińskim w latach 2009-2012 ujęcie graficzne</w:t>
      </w:r>
    </w:p>
    <w:p w:rsidR="00036ABD" w:rsidRPr="00CF48DF" w:rsidRDefault="00976D59" w:rsidP="00CF48DF">
      <w:pPr>
        <w:spacing w:after="240" w:line="240" w:lineRule="auto"/>
        <w:jc w:val="center"/>
        <w:rPr>
          <w:sz w:val="20"/>
        </w:rPr>
      </w:pPr>
      <w:r w:rsidRPr="00341348">
        <w:rPr>
          <w:sz w:val="20"/>
        </w:rPr>
        <w:t xml:space="preserve">Źródło: </w:t>
      </w:r>
      <w:r>
        <w:rPr>
          <w:i/>
          <w:sz w:val="20"/>
        </w:rPr>
        <w:t>Ludność według płci</w:t>
      </w:r>
      <w:r w:rsidRPr="00341348">
        <w:rPr>
          <w:sz w:val="20"/>
        </w:rPr>
        <w:t xml:space="preserve">, </w:t>
      </w:r>
      <w:r>
        <w:rPr>
          <w:sz w:val="20"/>
        </w:rPr>
        <w:t xml:space="preserve">Główny Urząd Statystyczny, </w:t>
      </w:r>
      <w:hyperlink r:id="rId17" w:history="1">
        <w:r w:rsidRPr="007421D8">
          <w:rPr>
            <w:rStyle w:val="Hipercze"/>
            <w:sz w:val="20"/>
          </w:rPr>
          <w:t>http://stat.gov.pl/</w:t>
        </w:r>
      </w:hyperlink>
      <w:r w:rsidR="00CF48DF">
        <w:rPr>
          <w:sz w:val="20"/>
        </w:rPr>
        <w:t>.</w:t>
      </w:r>
    </w:p>
    <w:p w:rsidR="00D26D2F" w:rsidRDefault="00036ABD" w:rsidP="00036ABD">
      <w:r>
        <w:rPr>
          <w:noProof/>
          <w:lang w:eastAsia="pl-PL"/>
        </w:rPr>
        <w:lastRenderedPageBreak/>
        <w:drawing>
          <wp:inline distT="0" distB="0" distL="0" distR="0">
            <wp:extent cx="5972175" cy="3343275"/>
            <wp:effectExtent l="0" t="0" r="0" b="0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036ABD" w:rsidRDefault="009C09CF" w:rsidP="009C09CF">
      <w:pPr>
        <w:pStyle w:val="Legenda"/>
        <w:rPr>
          <w:szCs w:val="22"/>
        </w:rPr>
      </w:pPr>
      <w:r>
        <w:t xml:space="preserve">Wykres </w:t>
      </w:r>
      <w:r w:rsidR="00967BA4">
        <w:fldChar w:fldCharType="begin"/>
      </w:r>
      <w:r>
        <w:instrText xml:space="preserve"> SEQ Wykres \* ARABIC </w:instrText>
      </w:r>
      <w:r w:rsidR="00967BA4">
        <w:fldChar w:fldCharType="separate"/>
      </w:r>
      <w:r w:rsidR="00D0726E">
        <w:rPr>
          <w:noProof/>
        </w:rPr>
        <w:t>4</w:t>
      </w:r>
      <w:r w:rsidR="00967BA4">
        <w:fldChar w:fldCharType="end"/>
      </w:r>
      <w:r w:rsidR="00036ABD">
        <w:t>Struktura ludności wg ekonomicznych grup wieku w latach 2009-2012</w:t>
      </w:r>
    </w:p>
    <w:p w:rsidR="00036ABD" w:rsidRDefault="00036ABD" w:rsidP="00036ABD">
      <w:pPr>
        <w:spacing w:after="240" w:line="240" w:lineRule="auto"/>
        <w:jc w:val="center"/>
        <w:rPr>
          <w:sz w:val="20"/>
        </w:rPr>
      </w:pPr>
      <w:r w:rsidRPr="00341348">
        <w:rPr>
          <w:sz w:val="20"/>
        </w:rPr>
        <w:t xml:space="preserve">Źródło: </w:t>
      </w:r>
      <w:r>
        <w:rPr>
          <w:i/>
          <w:sz w:val="20"/>
        </w:rPr>
        <w:t xml:space="preserve">Ludność według ekonomicznych grup </w:t>
      </w:r>
      <w:proofErr w:type="spellStart"/>
      <w:r>
        <w:rPr>
          <w:i/>
          <w:sz w:val="20"/>
        </w:rPr>
        <w:t>wieku</w:t>
      </w:r>
      <w:r>
        <w:rPr>
          <w:sz w:val="20"/>
        </w:rPr>
        <w:t>Główny</w:t>
      </w:r>
      <w:proofErr w:type="spellEnd"/>
      <w:r>
        <w:rPr>
          <w:sz w:val="20"/>
        </w:rPr>
        <w:t xml:space="preserve"> Urząd Statystyczny, </w:t>
      </w:r>
      <w:hyperlink r:id="rId19" w:history="1">
        <w:r w:rsidRPr="007421D8">
          <w:rPr>
            <w:rStyle w:val="Hipercze"/>
            <w:sz w:val="20"/>
          </w:rPr>
          <w:t>http://stat.gov.pl/</w:t>
        </w:r>
      </w:hyperlink>
      <w:r>
        <w:rPr>
          <w:sz w:val="20"/>
        </w:rPr>
        <w:t>.</w:t>
      </w:r>
    </w:p>
    <w:p w:rsidR="009C09CF" w:rsidRDefault="009C09CF" w:rsidP="009C09CF">
      <w:pPr>
        <w:ind w:firstLine="720"/>
      </w:pPr>
      <w:r>
        <w:t xml:space="preserve">W 2012 r. w powiecie urodziło się </w:t>
      </w:r>
      <w:r w:rsidR="00EC4883">
        <w:t>440</w:t>
      </w:r>
      <w:r>
        <w:t xml:space="preserve"> osób, wartość tak jest niższa niż dla 2009 r. o </w:t>
      </w:r>
      <w:r w:rsidR="00EC4883">
        <w:t>119</w:t>
      </w:r>
      <w:r>
        <w:t xml:space="preserve"> osób. Wskaźnik urodzeń żywych na 1000 osób w 2012 r. wyniósł </w:t>
      </w:r>
      <w:r w:rsidR="00EC4883">
        <w:t>9,0 i był znacznie</w:t>
      </w:r>
      <w:r>
        <w:t xml:space="preserve"> niższy niż w roku 2009 (</w:t>
      </w:r>
      <w:r w:rsidR="00EC4883">
        <w:t>11,4</w:t>
      </w:r>
      <w:r>
        <w:t xml:space="preserve">). W analizowanym okresie notuje się </w:t>
      </w:r>
      <w:r w:rsidR="00EC4883">
        <w:t xml:space="preserve">ujemny </w:t>
      </w:r>
      <w:r>
        <w:t xml:space="preserve">przyrost naturalny. Współczynniki zastępowalności pokoleń, tj. współczynnik reprodukcji brutto oraz współczynnik dzietności kształtowały się odpowiednio na poziomie </w:t>
      </w:r>
      <w:r w:rsidR="00EC4883">
        <w:t>0,61 i 1,26</w:t>
      </w:r>
      <w:r>
        <w:t xml:space="preserve"> i były niższe </w:t>
      </w:r>
      <w:r w:rsidR="00EC4883">
        <w:t>od wartości gwarantujących pełną</w:t>
      </w:r>
      <w:r>
        <w:t xml:space="preserve"> zastępowalność pokoleń (odpowiednio 1,00 i 2,10). Dodatkowo wielkość w/w współczynników była niższa niż w roku 2009 (odpowiednio </w:t>
      </w:r>
      <w:r w:rsidR="00EC4883">
        <w:t>0,66 i 1,38</w:t>
      </w:r>
      <w:r>
        <w:t>).</w:t>
      </w:r>
    </w:p>
    <w:p w:rsidR="009C09CF" w:rsidRPr="00BD10C5" w:rsidRDefault="009C09CF" w:rsidP="009C09CF">
      <w:pPr>
        <w:ind w:firstLine="720"/>
      </w:pPr>
      <w:r>
        <w:t xml:space="preserve">Celem dokonania analizy struktury wieku oraz zmian jakie zaszyły w ostatnich latach, przy użyciu metody różnicowej, zobrazowano zmianę wielkości populacji w poszczególnych grupach wiekowych. Silny przyrostowy trend zaobserwowano w grupach wieku 30-44 lat oraz 55 lat i więcej, </w:t>
      </w:r>
      <w:r>
        <w:lastRenderedPageBreak/>
        <w:t xml:space="preserve">natomiast niewielki wzrost populacji odnotowano w grupie </w:t>
      </w:r>
      <w:r w:rsidR="00D0726E">
        <w:t>5</w:t>
      </w:r>
      <w:r>
        <w:t>-9 lat. Silny spadkowy trend nastąpił w grupi</w:t>
      </w:r>
      <w:r w:rsidR="002E5A20">
        <w:t>e 14-29 lat oraz 45-54 lat (por. Wykres 5</w:t>
      </w:r>
      <w:r>
        <w:t xml:space="preserve">). </w:t>
      </w:r>
    </w:p>
    <w:p w:rsidR="002371F0" w:rsidRDefault="002371F0" w:rsidP="00645AFD">
      <w:r>
        <w:rPr>
          <w:noProof/>
          <w:lang w:eastAsia="pl-PL"/>
        </w:rPr>
        <w:drawing>
          <wp:inline distT="0" distB="0" distL="0" distR="0">
            <wp:extent cx="5838825" cy="4486275"/>
            <wp:effectExtent l="0" t="0" r="9525" b="9525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3C443D" w:rsidRDefault="00641D6B" w:rsidP="006C712E">
      <w:pPr>
        <w:pStyle w:val="Legenda"/>
      </w:pPr>
      <w:bookmarkStart w:id="12" w:name="_Ref387571648"/>
      <w:r>
        <w:t xml:space="preserve">Wykres </w:t>
      </w:r>
      <w:r w:rsidR="00967BA4">
        <w:fldChar w:fldCharType="begin"/>
      </w:r>
      <w:r>
        <w:instrText xml:space="preserve"> SEQ Wykres \* ARABIC </w:instrText>
      </w:r>
      <w:r w:rsidR="00967BA4">
        <w:fldChar w:fldCharType="separate"/>
      </w:r>
      <w:r w:rsidR="00D0726E">
        <w:rPr>
          <w:noProof/>
        </w:rPr>
        <w:t>5</w:t>
      </w:r>
      <w:r w:rsidR="00967BA4">
        <w:fldChar w:fldCharType="end"/>
      </w:r>
      <w:bookmarkEnd w:id="12"/>
      <w:r>
        <w:t xml:space="preserve"> Zmiana liczebność populacji</w:t>
      </w:r>
      <w:r w:rsidR="00AF3251">
        <w:t xml:space="preserve"> według grup wieku</w:t>
      </w:r>
    </w:p>
    <w:p w:rsidR="005863CF" w:rsidRPr="003932C8" w:rsidRDefault="006C712E" w:rsidP="003932C8">
      <w:pPr>
        <w:spacing w:after="240" w:line="240" w:lineRule="auto"/>
        <w:jc w:val="center"/>
        <w:rPr>
          <w:sz w:val="20"/>
        </w:rPr>
      </w:pPr>
      <w:r w:rsidRPr="00341348">
        <w:rPr>
          <w:sz w:val="20"/>
        </w:rPr>
        <w:t xml:space="preserve">Źródło: </w:t>
      </w:r>
      <w:r w:rsidRPr="006C712E">
        <w:rPr>
          <w:i/>
          <w:sz w:val="20"/>
        </w:rPr>
        <w:t>Ludność wg grup wieku i płci</w:t>
      </w:r>
      <w:r w:rsidRPr="00341348">
        <w:rPr>
          <w:sz w:val="20"/>
        </w:rPr>
        <w:t xml:space="preserve">, </w:t>
      </w:r>
      <w:r>
        <w:rPr>
          <w:sz w:val="20"/>
        </w:rPr>
        <w:t xml:space="preserve">Główny Urząd Statystyczny, </w:t>
      </w:r>
      <w:hyperlink r:id="rId21" w:history="1">
        <w:r w:rsidRPr="007421D8">
          <w:rPr>
            <w:rStyle w:val="Hipercze"/>
            <w:sz w:val="20"/>
          </w:rPr>
          <w:t>http://stat.gov.pl/</w:t>
        </w:r>
      </w:hyperlink>
      <w:r>
        <w:rPr>
          <w:sz w:val="20"/>
        </w:rPr>
        <w:t>.</w:t>
      </w:r>
    </w:p>
    <w:p w:rsidR="005863CF" w:rsidRDefault="005863CF" w:rsidP="005863CF">
      <w:pPr>
        <w:ind w:firstLine="720"/>
      </w:pPr>
      <w:r>
        <w:t xml:space="preserve">Zaobserwowane zmiany, oprócz konsekwencji ekonomicznych i demograficznych, generują także poważne ryzyko epidemiologiczne. Biorąc pod uwagę silną dodatnią korelację, jaka zachodzi pomiędzy wiekiem a zachorowalnością, w tym </w:t>
      </w:r>
      <w:r w:rsidR="00D0726E">
        <w:t>z uwagi na proces starzenia się układu trawiennego</w:t>
      </w:r>
      <w:r>
        <w:t xml:space="preserve">, istnieje silna obawa, że wzrost przypadków chorobowych, będzie postępował. </w:t>
      </w:r>
    </w:p>
    <w:p w:rsidR="00EC4883" w:rsidRDefault="00EC4883" w:rsidP="00EC4883">
      <w:pPr>
        <w:ind w:firstLine="720"/>
      </w:pPr>
      <w:r>
        <w:lastRenderedPageBreak/>
        <w:t xml:space="preserve">Wskaźnik urbanizacji powiatu </w:t>
      </w:r>
      <w:r w:rsidR="005863CF">
        <w:t>świdwińskiego w latach 2009-2012 wykazywał</w:t>
      </w:r>
      <w:r>
        <w:t xml:space="preserve"> minimalną tendencję spadkową i na koniec roku 2012 wynosił </w:t>
      </w:r>
      <w:r w:rsidR="005863CF">
        <w:t>49,8</w:t>
      </w:r>
      <w:r>
        <w:t xml:space="preserve">%. Oznacza  to, że ponad połowa mieszkańców powiatu zamieszkuje na obszarach wiejskich.  </w:t>
      </w:r>
    </w:p>
    <w:p w:rsidR="00C06B72" w:rsidRPr="00395A4A" w:rsidRDefault="003932C8" w:rsidP="003932C8">
      <w:r>
        <w:tab/>
        <w:t xml:space="preserve">Analiza ogólnego poziomu rozwoju społecznego powiatu świdwińskiego została oparta o dane </w:t>
      </w:r>
      <w:r w:rsidR="007B1476" w:rsidRPr="007B1476">
        <w:rPr>
          <w:i/>
        </w:rPr>
        <w:t>Krajowego Raportu o Rozwoju Społecznym Polska 2012 Rozwój regionalny i lokalny</w:t>
      </w:r>
      <w:r w:rsidR="0045406D">
        <w:rPr>
          <w:rStyle w:val="Odwoanieprzypisudolnego"/>
          <w:i/>
        </w:rPr>
        <w:footnoteReference w:id="5"/>
      </w:r>
      <w:r w:rsidR="007B1476">
        <w:t xml:space="preserve">. W rankingu LHDI powiat świdwiński zajmuje 260 miejsce na 314 </w:t>
      </w:r>
      <w:proofErr w:type="spellStart"/>
      <w:r w:rsidR="007B1476">
        <w:t>powiatów</w:t>
      </w:r>
      <w:proofErr w:type="spellEnd"/>
      <w:r w:rsidR="00C95D10">
        <w:t xml:space="preserve"> (spadek ze 160 miejsca w 2009)</w:t>
      </w:r>
      <w:r w:rsidR="007B1476">
        <w:t>, a wartość wskaźnika przyjęł</w:t>
      </w:r>
      <w:r w:rsidR="00C95D10">
        <w:t xml:space="preserve">a w 2010 r. </w:t>
      </w:r>
      <w:r w:rsidR="00E20316">
        <w:t xml:space="preserve">poziom </w:t>
      </w:r>
      <w:r w:rsidR="00C95D10">
        <w:t xml:space="preserve">34,39. Średnia dla województwa 2010 r. wyniosła </w:t>
      </w:r>
      <w:r w:rsidR="00E20316">
        <w:t>42,89 (11. miejsce w Polsce).</w:t>
      </w:r>
      <w:r w:rsidR="00C06B72">
        <w:t xml:space="preserve"> Wskaźnik </w:t>
      </w:r>
      <w:r w:rsidR="0045406D">
        <w:t xml:space="preserve">zdrowia dla powiatu wyniósł </w:t>
      </w:r>
      <w:r w:rsidR="00C06B72">
        <w:t>45,55</w:t>
      </w:r>
      <w:r w:rsidR="0045406D">
        <w:t xml:space="preserve">, podczas </w:t>
      </w:r>
      <w:proofErr w:type="spellStart"/>
      <w:r w:rsidR="0045406D">
        <w:t>gdydla</w:t>
      </w:r>
      <w:proofErr w:type="spellEnd"/>
      <w:r w:rsidR="0045406D">
        <w:t xml:space="preserve"> województwa jest to 52,31. Równie niekorzystnie kształtuje się wskaźnik nakładów zdrowotnych (HI</w:t>
      </w:r>
      <w:r w:rsidR="0045406D" w:rsidRPr="0045406D">
        <w:rPr>
          <w:vertAlign w:val="subscript"/>
        </w:rPr>
        <w:t>PI</w:t>
      </w:r>
      <w:r w:rsidR="0045406D">
        <w:t xml:space="preserve">), który dla powiatu osiąga wartość </w:t>
      </w:r>
      <w:r w:rsidR="00C06B72">
        <w:t>19,32</w:t>
      </w:r>
      <w:r w:rsidR="0045406D">
        <w:t>, podczas gdy dla województw jest to 32,02. Poziom wskaźników zdrowotnych wskazuje na niedostatki w ochronie zdrowia, w tym na problemy systemowe.</w:t>
      </w:r>
      <w:r w:rsidR="00C46506">
        <w:t xml:space="preserve"> Raport wskazuje także, że powiat świdwiński cechują s</w:t>
      </w:r>
      <w:r w:rsidR="00C06B72" w:rsidRPr="00C06B72">
        <w:t>zczególnie wysokie wydatki na pomoc s</w:t>
      </w:r>
      <w:r w:rsidR="00C46506">
        <w:t>połeczną oraz wzrastający poziom ubóstwa.</w:t>
      </w:r>
      <w:r w:rsidR="00A33329">
        <w:t xml:space="preserve"> Krytyczna analiza zawartych w Raporcie informacji, wskazuje na istotne dysproporcje pomiędzy potrzebami zdrowotnymi mieszkańców, a dostępnymi zasobami.</w:t>
      </w:r>
    </w:p>
    <w:p w:rsidR="00C13E50" w:rsidRDefault="00C13E50" w:rsidP="00C13E50">
      <w:pPr>
        <w:pStyle w:val="Nagwek3"/>
      </w:pPr>
      <w:bookmarkStart w:id="13" w:name="_Toc387117338"/>
      <w:bookmarkStart w:id="14" w:name="_Toc389078568"/>
      <w:r>
        <w:t>1.2.2.</w:t>
      </w:r>
      <w:r w:rsidRPr="00AF1D8E">
        <w:t> </w:t>
      </w:r>
      <w:r>
        <w:t>Warunki bytowe</w:t>
      </w:r>
      <w:bookmarkEnd w:id="13"/>
      <w:bookmarkEnd w:id="14"/>
    </w:p>
    <w:p w:rsidR="00C13E50" w:rsidRDefault="00C13E50" w:rsidP="00C13E50">
      <w:pPr>
        <w:rPr>
          <w:szCs w:val="22"/>
        </w:rPr>
      </w:pPr>
      <w:r>
        <w:t>Za</w:t>
      </w:r>
      <w:r w:rsidR="00E101BF">
        <w:t>soby mieszkaniowe powiatu w 2011</w:t>
      </w:r>
      <w:r>
        <w:t xml:space="preserve"> r. wynosiły </w:t>
      </w:r>
      <w:r w:rsidR="00E101BF">
        <w:t>15 699</w:t>
      </w:r>
      <w:r>
        <w:t xml:space="preserve"> mieszkań</w:t>
      </w:r>
      <w:r w:rsidR="00A22D18">
        <w:rPr>
          <w:rStyle w:val="Odwoanieprzypisudolnego"/>
        </w:rPr>
        <w:footnoteReference w:id="6"/>
      </w:r>
      <w:r>
        <w:t xml:space="preserve">. </w:t>
      </w:r>
      <w:r>
        <w:rPr>
          <w:szCs w:val="22"/>
        </w:rPr>
        <w:t xml:space="preserve">Przeciętna powierzchnia mieszkania w powiecie </w:t>
      </w:r>
      <w:r w:rsidR="00E101BF">
        <w:rPr>
          <w:szCs w:val="22"/>
        </w:rPr>
        <w:t>świdwińskim</w:t>
      </w:r>
      <w:r>
        <w:rPr>
          <w:szCs w:val="22"/>
        </w:rPr>
        <w:t xml:space="preserve"> w 20</w:t>
      </w:r>
      <w:r w:rsidR="00A22D18">
        <w:rPr>
          <w:szCs w:val="22"/>
        </w:rPr>
        <w:t>11</w:t>
      </w:r>
      <w:r>
        <w:rPr>
          <w:szCs w:val="22"/>
        </w:rPr>
        <w:t xml:space="preserve"> r. wynosiła </w:t>
      </w:r>
      <w:r w:rsidR="00E101BF">
        <w:rPr>
          <w:szCs w:val="22"/>
        </w:rPr>
        <w:t>68,1</w:t>
      </w:r>
      <w:r>
        <w:rPr>
          <w:szCs w:val="22"/>
        </w:rPr>
        <w:t xml:space="preserve"> m</w:t>
      </w:r>
      <w:r>
        <w:rPr>
          <w:szCs w:val="22"/>
          <w:vertAlign w:val="superscript"/>
        </w:rPr>
        <w:t>2</w:t>
      </w:r>
      <w:r>
        <w:rPr>
          <w:szCs w:val="22"/>
        </w:rPr>
        <w:t xml:space="preserve">, a powierzchnia użytkowa mieszkania na 1 osobę  wynosiła średnio </w:t>
      </w:r>
      <w:r w:rsidR="00E101BF">
        <w:rPr>
          <w:szCs w:val="22"/>
        </w:rPr>
        <w:t>21,9</w:t>
      </w:r>
      <w:r>
        <w:rPr>
          <w:szCs w:val="22"/>
        </w:rPr>
        <w:t xml:space="preserve"> m</w:t>
      </w:r>
      <w:r>
        <w:rPr>
          <w:szCs w:val="22"/>
          <w:vertAlign w:val="superscript"/>
        </w:rPr>
        <w:t>2</w:t>
      </w:r>
      <w:r>
        <w:rPr>
          <w:szCs w:val="22"/>
        </w:rPr>
        <w:t xml:space="preserve">. Liczba mieszkań w powiecie na 1000 osób to </w:t>
      </w:r>
      <w:r w:rsidR="00E101BF">
        <w:rPr>
          <w:szCs w:val="22"/>
        </w:rPr>
        <w:t>321,0.</w:t>
      </w:r>
    </w:p>
    <w:p w:rsidR="00C13E50" w:rsidRDefault="00C13E50" w:rsidP="00C13E50">
      <w:pPr>
        <w:ind w:firstLine="720"/>
        <w:rPr>
          <w:szCs w:val="22"/>
        </w:rPr>
      </w:pPr>
      <w:r>
        <w:rPr>
          <w:szCs w:val="22"/>
        </w:rPr>
        <w:t>Analiz</w:t>
      </w:r>
      <w:r w:rsidR="00CD15DB">
        <w:rPr>
          <w:szCs w:val="22"/>
        </w:rPr>
        <w:t>ując warunki bytowe w powiecie świdwińskim</w:t>
      </w:r>
      <w:r>
        <w:rPr>
          <w:szCs w:val="22"/>
        </w:rPr>
        <w:t xml:space="preserve"> należy zaznaczyć, że od 2009 r. wzrosła liczba mieszkań powiecie oraz ich dostęp do </w:t>
      </w:r>
      <w:r w:rsidRPr="00CD15DB">
        <w:rPr>
          <w:szCs w:val="22"/>
        </w:rPr>
        <w:t xml:space="preserve">instalacji techniczno-sanitarnych. </w:t>
      </w:r>
      <w:r w:rsidR="00CD15DB" w:rsidRPr="00CD15DB">
        <w:rPr>
          <w:szCs w:val="22"/>
        </w:rPr>
        <w:t>Powiat świdwiński</w:t>
      </w:r>
      <w:r w:rsidRPr="00CD15DB">
        <w:rPr>
          <w:szCs w:val="22"/>
        </w:rPr>
        <w:t xml:space="preserve"> odznacza się praktycznie całkowitym zwodociągowaniem. W 2012 r. 9</w:t>
      </w:r>
      <w:r w:rsidR="00CD15DB" w:rsidRPr="00CD15DB">
        <w:rPr>
          <w:szCs w:val="22"/>
        </w:rPr>
        <w:t>7,9</w:t>
      </w:r>
      <w:r w:rsidRPr="00CD15DB">
        <w:rPr>
          <w:szCs w:val="22"/>
        </w:rPr>
        <w:t xml:space="preserve">% mieszkań w powiecie było wyposażonych w wodociąg. </w:t>
      </w:r>
      <w:r w:rsidR="00CD15DB" w:rsidRPr="00CD15DB">
        <w:rPr>
          <w:szCs w:val="22"/>
        </w:rPr>
        <w:t xml:space="preserve">Nieznacznie mniej </w:t>
      </w:r>
      <w:r w:rsidRPr="00CD15DB">
        <w:rPr>
          <w:szCs w:val="22"/>
        </w:rPr>
        <w:t>mieszkań</w:t>
      </w:r>
      <w:r w:rsidR="00CD15DB" w:rsidRPr="00CD15DB">
        <w:rPr>
          <w:szCs w:val="22"/>
        </w:rPr>
        <w:t>, bo 91,4%,</w:t>
      </w:r>
      <w:r w:rsidRPr="00CD15DB">
        <w:rPr>
          <w:szCs w:val="22"/>
        </w:rPr>
        <w:t xml:space="preserve"> posiadało łazienkę. Dostęp do instalacji centralnego ogrzewania miało </w:t>
      </w:r>
      <w:r w:rsidR="00CD15DB" w:rsidRPr="00CD15DB">
        <w:rPr>
          <w:szCs w:val="22"/>
        </w:rPr>
        <w:t>76,0</w:t>
      </w:r>
      <w:r w:rsidRPr="00CD15DB">
        <w:rPr>
          <w:szCs w:val="22"/>
        </w:rPr>
        <w:t xml:space="preserve"> % mieszkań. </w:t>
      </w:r>
      <w:r w:rsidR="00CD15DB">
        <w:rPr>
          <w:szCs w:val="22"/>
        </w:rPr>
        <w:t>Dostęp do kanalizacji sanitarnej</w:t>
      </w:r>
      <w:r w:rsidR="00A8647A">
        <w:rPr>
          <w:szCs w:val="22"/>
        </w:rPr>
        <w:t xml:space="preserve"> ma 75,1% mieszkańców powiatu, wodociągu 90,4%, a instalacji gazowej 34,3%. W ostatnich latach  odnotowano poprawę w dostępie do instalacji kanalizacji sanitarnej, pozostałe wskaźniki wzrosły nieznacznie.</w:t>
      </w:r>
    </w:p>
    <w:p w:rsidR="00A8647A" w:rsidRDefault="00A8647A" w:rsidP="00A8647A">
      <w:pPr>
        <w:ind w:firstLine="720"/>
      </w:pPr>
      <w:r>
        <w:lastRenderedPageBreak/>
        <w:t>W powiecie funkcjonuje dobrze rozbudo</w:t>
      </w:r>
      <w:r w:rsidR="00A523FA">
        <w:t xml:space="preserve">wana infrastruktura techniczna, tj. </w:t>
      </w:r>
      <w:r>
        <w:t>nowoczesne składowiska odpadów stałych</w:t>
      </w:r>
      <w:r w:rsidR="00A523FA">
        <w:t xml:space="preserve"> oraz zakłady przetwórstwa tworzyw sztucznych</w:t>
      </w:r>
      <w:r>
        <w:t>, mechaniczno-biologiczne oczyszczalnie ścieków oraz relatywnie dobrze rozwinięta infrastruktura sieciowa.</w:t>
      </w:r>
    </w:p>
    <w:p w:rsidR="004A5F71" w:rsidRPr="0052220E" w:rsidRDefault="004A5F71" w:rsidP="00A8647A">
      <w:pPr>
        <w:ind w:firstLine="720"/>
      </w:pPr>
    </w:p>
    <w:p w:rsidR="00A523FA" w:rsidRDefault="00A523FA" w:rsidP="00A523FA">
      <w:pPr>
        <w:pStyle w:val="Nagwek3"/>
      </w:pPr>
      <w:bookmarkStart w:id="15" w:name="_Toc387117339"/>
      <w:bookmarkStart w:id="16" w:name="_Toc389078569"/>
      <w:r>
        <w:t>1.2.3. Uwarunkowania ekonomiczne</w:t>
      </w:r>
      <w:bookmarkEnd w:id="15"/>
      <w:bookmarkEnd w:id="16"/>
    </w:p>
    <w:p w:rsidR="00A523FA" w:rsidRDefault="00E420FE" w:rsidP="00C90D09">
      <w:r>
        <w:t xml:space="preserve">W okresie </w:t>
      </w:r>
      <w:proofErr w:type="spellStart"/>
      <w:r>
        <w:t>przedtrasformacyjnym</w:t>
      </w:r>
      <w:proofErr w:type="spellEnd"/>
      <w:r>
        <w:t xml:space="preserve">, na terenie powiatu świdwińskiego dominowało rolnictwo wielkoobszarowe, co przesądziło o organizacji sieci osiedleńczej, lokalizacji obiektów produkcyjnych i usługowych. Aktualnie w strukturze gospodarczej powiatu świdwińskiego dominuje pozostała działalność, </w:t>
      </w:r>
      <w:r>
        <w:rPr>
          <w:szCs w:val="22"/>
        </w:rPr>
        <w:t xml:space="preserve">w której skład wchodzi </w:t>
      </w:r>
      <w:r w:rsidRPr="00297795">
        <w:t>m.in. ha</w:t>
      </w:r>
      <w:r>
        <w:t xml:space="preserve">ndel, transport, zakwaterowanie </w:t>
      </w:r>
      <w:r w:rsidRPr="00297795">
        <w:t>i gastronomia, informacja i komunikacja, działalność finansowa i ubezpieczeniowa, opieka zdrowotna, działalność związana z kulturą i rozrywką i rekreacją oraz usługi</w:t>
      </w:r>
      <w:r>
        <w:t xml:space="preserve">. W działalności przemysłowej natomiast przeważają małe zakłady przemysłu drzewnego, przemysłu metalowego, produkcji odzieży, przetwórstwa rolno – spożywczego oraz przemysłu </w:t>
      </w:r>
      <w:proofErr w:type="spellStart"/>
      <w:r>
        <w:t>chemicznego.</w:t>
      </w:r>
      <w:r w:rsidR="00A523FA" w:rsidRPr="00C90D09">
        <w:t>Analiza</w:t>
      </w:r>
      <w:proofErr w:type="spellEnd"/>
      <w:r w:rsidR="00A523FA" w:rsidRPr="00C90D09">
        <w:t xml:space="preserve"> podmiotowa najważniejszych przedsiębiorstw w poszczególnych gminach nie wykazała występowania zakładów produkcyjnych o szczególnej uciążliwości dla zdrowia. </w:t>
      </w:r>
      <w:r w:rsidR="00A523FA">
        <w:t xml:space="preserve">Stopa bezrobocia w powiecie </w:t>
      </w:r>
      <w:r w:rsidR="00454D8A">
        <w:t>świdwińskim</w:t>
      </w:r>
      <w:r w:rsidR="00A523FA">
        <w:t xml:space="preserve"> w analizowanym okresie (2009-2012 r.) znacznie przewyższała stopę bezrobocia województwa. Od 2009 r. do 2011 r. </w:t>
      </w:r>
      <w:r w:rsidR="00454D8A">
        <w:t>wskaźnik ten znajdował się w trendzie zmiennym.</w:t>
      </w:r>
    </w:p>
    <w:p w:rsidR="004028C3" w:rsidRDefault="00454D8A" w:rsidP="004028C3">
      <w:pPr>
        <w:spacing w:line="240" w:lineRule="auto"/>
      </w:pPr>
      <w:r>
        <w:rPr>
          <w:noProof/>
          <w:lang w:eastAsia="pl-PL"/>
        </w:rPr>
        <w:lastRenderedPageBreak/>
        <w:drawing>
          <wp:inline distT="0" distB="0" distL="0" distR="0">
            <wp:extent cx="5972175" cy="2838450"/>
            <wp:effectExtent l="0" t="0" r="0" b="0"/>
            <wp:docPr id="6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4028C3" w:rsidRPr="007158E8" w:rsidRDefault="004028C3" w:rsidP="004028C3">
      <w:pPr>
        <w:pStyle w:val="Legenda"/>
      </w:pPr>
      <w:r>
        <w:t xml:space="preserve">Wykres </w:t>
      </w:r>
      <w:r w:rsidR="00967BA4">
        <w:fldChar w:fldCharType="begin"/>
      </w:r>
      <w:r>
        <w:instrText xml:space="preserve"> SEQ Wykres \* ARABIC </w:instrText>
      </w:r>
      <w:r w:rsidR="00967BA4">
        <w:fldChar w:fldCharType="separate"/>
      </w:r>
      <w:r w:rsidR="00D0726E">
        <w:rPr>
          <w:noProof/>
        </w:rPr>
        <w:t>6</w:t>
      </w:r>
      <w:r w:rsidR="00967BA4">
        <w:fldChar w:fldCharType="end"/>
      </w:r>
      <w:r>
        <w:t xml:space="preserve"> Stopa bezrobocia w latach 2009-</w:t>
      </w:r>
      <w:r w:rsidRPr="004028C3">
        <w:t>2012</w:t>
      </w:r>
    </w:p>
    <w:p w:rsidR="004028C3" w:rsidRDefault="004028C3" w:rsidP="004028C3">
      <w:pPr>
        <w:spacing w:after="240" w:line="240" w:lineRule="auto"/>
        <w:jc w:val="center"/>
        <w:rPr>
          <w:sz w:val="20"/>
        </w:rPr>
      </w:pPr>
      <w:r w:rsidRPr="00341348">
        <w:rPr>
          <w:sz w:val="20"/>
        </w:rPr>
        <w:t xml:space="preserve">Źródło: </w:t>
      </w:r>
      <w:r>
        <w:rPr>
          <w:i/>
          <w:sz w:val="20"/>
        </w:rPr>
        <w:t>Bezrobocie</w:t>
      </w:r>
      <w:r w:rsidRPr="00341348">
        <w:rPr>
          <w:sz w:val="20"/>
        </w:rPr>
        <w:t xml:space="preserve">, </w:t>
      </w:r>
      <w:r>
        <w:rPr>
          <w:sz w:val="20"/>
        </w:rPr>
        <w:t xml:space="preserve">Główny Urząd Statystyczny, </w:t>
      </w:r>
      <w:hyperlink r:id="rId23" w:history="1">
        <w:r w:rsidRPr="007421D8">
          <w:rPr>
            <w:rStyle w:val="Hipercze"/>
            <w:sz w:val="20"/>
          </w:rPr>
          <w:t>http://stat.gov.pl/</w:t>
        </w:r>
      </w:hyperlink>
      <w:r>
        <w:rPr>
          <w:sz w:val="20"/>
        </w:rPr>
        <w:t>.</w:t>
      </w:r>
    </w:p>
    <w:p w:rsidR="00775306" w:rsidRDefault="00775306" w:rsidP="00775306">
      <w:pPr>
        <w:ind w:firstLine="720"/>
      </w:pPr>
      <w:r w:rsidRPr="00834C27">
        <w:t xml:space="preserve">Wskaźnik ubóstwa dla powiatu </w:t>
      </w:r>
      <w:r w:rsidR="0046376A">
        <w:t>świdwińskiego</w:t>
      </w:r>
      <w:r w:rsidRPr="00834C27">
        <w:t>, rozumiany jako udział osób w gospodarstwach domowych</w:t>
      </w:r>
      <w:r w:rsidRPr="00876048">
        <w:rPr>
          <w:rFonts w:cs="Times New Roman"/>
          <w:color w:val="000000"/>
          <w:szCs w:val="22"/>
          <w:shd w:val="clear" w:color="auto" w:fill="FFFFFF"/>
        </w:rPr>
        <w:t xml:space="preserve"> korzystających ze środowiskowej pomocy społecznej w ludności ogółem</w:t>
      </w:r>
      <w:r>
        <w:rPr>
          <w:rFonts w:cs="Times New Roman"/>
          <w:color w:val="000000"/>
          <w:shd w:val="clear" w:color="auto" w:fill="FFFFFF"/>
        </w:rPr>
        <w:t xml:space="preserve">, </w:t>
      </w:r>
      <w:r w:rsidR="00AB7C51">
        <w:t xml:space="preserve">od roku 2009 do 2012 spadł o </w:t>
      </w:r>
      <w:r>
        <w:t>3</w:t>
      </w:r>
      <w:r w:rsidR="00AB7C51">
        <w:t>,4</w:t>
      </w:r>
      <w:r>
        <w:t xml:space="preserve"> punktu procentowego. Wskaźnik ten </w:t>
      </w:r>
      <w:r w:rsidR="00AB7C51">
        <w:t xml:space="preserve">była znacznie wyższy </w:t>
      </w:r>
      <w:r>
        <w:t>o</w:t>
      </w:r>
      <w:r w:rsidR="00AB7C51">
        <w:t>d</w:t>
      </w:r>
      <w:r>
        <w:t xml:space="preserve"> wskaźnika </w:t>
      </w:r>
      <w:r w:rsidR="00AB7C51">
        <w:t xml:space="preserve">dla </w:t>
      </w:r>
      <w:r>
        <w:t xml:space="preserve">województwa </w:t>
      </w:r>
      <w:r w:rsidR="00AB7C51">
        <w:t xml:space="preserve">zachodniopomorskiego (por. </w:t>
      </w:r>
      <w:r w:rsidR="00967BA4">
        <w:fldChar w:fldCharType="begin"/>
      </w:r>
      <w:r w:rsidR="00AB7C51">
        <w:instrText xml:space="preserve"> REF _Ref387579164 \h </w:instrText>
      </w:r>
      <w:r w:rsidR="00967BA4">
        <w:fldChar w:fldCharType="separate"/>
      </w:r>
      <w:r w:rsidR="00D0726E">
        <w:t xml:space="preserve">Wykres </w:t>
      </w:r>
      <w:r w:rsidR="00D0726E">
        <w:rPr>
          <w:noProof/>
        </w:rPr>
        <w:t>7</w:t>
      </w:r>
      <w:r w:rsidR="00967BA4">
        <w:fldChar w:fldCharType="end"/>
      </w:r>
      <w:r w:rsidR="00AB7C51">
        <w:t>)</w:t>
      </w:r>
      <w:r>
        <w:t>.</w:t>
      </w:r>
    </w:p>
    <w:p w:rsidR="00AB7C51" w:rsidRDefault="0046376A" w:rsidP="00AB7C51">
      <w:pPr>
        <w:pStyle w:val="Legenda"/>
      </w:pPr>
      <w:r>
        <w:rPr>
          <w:noProof/>
          <w:lang w:eastAsia="pl-PL"/>
        </w:rPr>
        <w:lastRenderedPageBreak/>
        <w:drawing>
          <wp:inline distT="0" distB="0" distL="0" distR="0">
            <wp:extent cx="5972175" cy="2529571"/>
            <wp:effectExtent l="0" t="0" r="0" b="4445"/>
            <wp:docPr id="7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AB7C51" w:rsidRPr="00AB7C51" w:rsidRDefault="00AB7C51" w:rsidP="00AB7C51">
      <w:pPr>
        <w:pStyle w:val="Legenda"/>
      </w:pPr>
      <w:bookmarkStart w:id="17" w:name="_Ref387579164"/>
      <w:r>
        <w:t xml:space="preserve">Wykres </w:t>
      </w:r>
      <w:r w:rsidR="00967BA4">
        <w:fldChar w:fldCharType="begin"/>
      </w:r>
      <w:r>
        <w:instrText xml:space="preserve"> SEQ Wykres \* ARABIC </w:instrText>
      </w:r>
      <w:r w:rsidR="00967BA4">
        <w:fldChar w:fldCharType="separate"/>
      </w:r>
      <w:r w:rsidR="00D0726E">
        <w:rPr>
          <w:noProof/>
        </w:rPr>
        <w:t>7</w:t>
      </w:r>
      <w:r w:rsidR="00967BA4">
        <w:fldChar w:fldCharType="end"/>
      </w:r>
      <w:bookmarkEnd w:id="17"/>
      <w:r>
        <w:t xml:space="preserve"> Wskaźnik </w:t>
      </w:r>
      <w:r w:rsidRPr="00AB7C51">
        <w:t>ubóstwa</w:t>
      </w:r>
      <w:r>
        <w:t xml:space="preserve"> w latach 2009-2012 r. </w:t>
      </w:r>
    </w:p>
    <w:p w:rsidR="00AB7C51" w:rsidRPr="000F546E" w:rsidRDefault="00AB7C51" w:rsidP="00AB7C51">
      <w:pPr>
        <w:spacing w:after="240" w:line="240" w:lineRule="auto"/>
        <w:jc w:val="center"/>
        <w:rPr>
          <w:sz w:val="20"/>
        </w:rPr>
      </w:pPr>
      <w:r w:rsidRPr="00341348">
        <w:rPr>
          <w:sz w:val="20"/>
        </w:rPr>
        <w:t xml:space="preserve">Źródło: </w:t>
      </w:r>
      <w:r>
        <w:rPr>
          <w:i/>
          <w:sz w:val="20"/>
        </w:rPr>
        <w:t>Korzystający z usług opieki społecznej</w:t>
      </w:r>
      <w:r>
        <w:rPr>
          <w:sz w:val="20"/>
        </w:rPr>
        <w:t xml:space="preserve">, Główny Urząd Statystyczny, </w:t>
      </w:r>
      <w:hyperlink r:id="rId25" w:history="1">
        <w:r w:rsidRPr="007421D8">
          <w:rPr>
            <w:rStyle w:val="Hipercze"/>
            <w:sz w:val="20"/>
          </w:rPr>
          <w:t>http://stat.gov.pl/</w:t>
        </w:r>
      </w:hyperlink>
      <w:r>
        <w:rPr>
          <w:sz w:val="20"/>
        </w:rPr>
        <w:t>.</w:t>
      </w:r>
    </w:p>
    <w:p w:rsidR="0029087C" w:rsidRDefault="0029087C" w:rsidP="0029087C">
      <w:pPr>
        <w:pStyle w:val="Nagwek3"/>
      </w:pPr>
      <w:bookmarkStart w:id="18" w:name="_Toc387117340"/>
      <w:bookmarkStart w:id="19" w:name="_Toc389078570"/>
      <w:r>
        <w:t>1.2.4. Podsumowanie</w:t>
      </w:r>
      <w:bookmarkEnd w:id="18"/>
      <w:bookmarkEnd w:id="19"/>
    </w:p>
    <w:p w:rsidR="0029087C" w:rsidRDefault="0029087C" w:rsidP="0029087C">
      <w:r>
        <w:t xml:space="preserve">Aktualna struktura demograficzna oraz zachodzące w ostatnich latach w tym obszarze zmiany na terenie powiatu </w:t>
      </w:r>
      <w:r w:rsidR="00D0726E">
        <w:t>świdwińskiego</w:t>
      </w:r>
      <w:r>
        <w:t>, odzwierciedlają trendy ogólnopolskie i wskazują potencjalne ryzyka w kontekście epidemiologicznym. Przede wszystkim zidentyfikowano postępujący proces starzenia się społeczeństwa i wzrost liczby ludności w grupach wiekowych narażonych na wyższe ryzyko wystąpienia chorób zagrażających życiu lub generujących wysokie koszty finansowe leczenia oraz koszty ekonomiczne niezdolności do pracy. Dodatkowo, bardzo niskie wskaźniki dzietności i reprodukcji brutto świadczą o iż zjawisko starzejącego się społeczeństwa, będzie się pogłębiać. Tym samym w zjawiskach demograficznych należy upatrywać głównych zagrożeń epidemiologicznych.</w:t>
      </w:r>
    </w:p>
    <w:p w:rsidR="00D0726E" w:rsidRDefault="0029087C" w:rsidP="0029087C">
      <w:r>
        <w:tab/>
        <w:t xml:space="preserve">Warunki sanitarne w powiecie </w:t>
      </w:r>
      <w:r w:rsidR="00D0726E" w:rsidRPr="000B07CF">
        <w:t>świdwińskim</w:t>
      </w:r>
      <w:r w:rsidRPr="000B07CF">
        <w:t xml:space="preserve"> ocenia się jako dobre. Niewątpliwie podnoszenie standardów infrastruktury technicznej (wodociągowej, kanalizacyjnej, gospodarki odpadami) przekłada się na wzrost poziomu bezpieczeństwa zdrowotnego mieszkańców powiatu. Analiza struktury przemysłu nie wykazała szczególnego ryzyka epidemiologicznego.</w:t>
      </w:r>
    </w:p>
    <w:p w:rsidR="00E20316" w:rsidRDefault="00E20316" w:rsidP="0029087C">
      <w:r>
        <w:tab/>
        <w:t>Sytuacja ekonomiczna społeczeństwa powiatu świdwińskiego, kształtuje się poniżej średniej dla województwa. Szczególnie niekorzystnie sytuacja dotyczy kwestii bezrobocia i pauperyzacji.</w:t>
      </w:r>
    </w:p>
    <w:p w:rsidR="00D0726E" w:rsidRDefault="00D0726E" w:rsidP="00D0726E">
      <w:r>
        <w:lastRenderedPageBreak/>
        <w:br w:type="page"/>
      </w:r>
    </w:p>
    <w:p w:rsidR="00DB1245" w:rsidRDefault="00DB1245" w:rsidP="00DB1245">
      <w:pPr>
        <w:pStyle w:val="Nagwek2"/>
      </w:pPr>
      <w:bookmarkStart w:id="20" w:name="_Toc387117349"/>
      <w:bookmarkStart w:id="21" w:name="_Toc389078577"/>
      <w:r w:rsidRPr="00CC1FB4">
        <w:lastRenderedPageBreak/>
        <w:t>2</w:t>
      </w:r>
      <w:r w:rsidR="004A5F71">
        <w:t>.1</w:t>
      </w:r>
      <w:r w:rsidRPr="00CC1FB4">
        <w:t>. Zachorowalność w obrębie wybranego obszaru</w:t>
      </w:r>
      <w:bookmarkEnd w:id="20"/>
      <w:bookmarkEnd w:id="21"/>
    </w:p>
    <w:p w:rsidR="00482E55" w:rsidRDefault="00482E55" w:rsidP="00AA067D">
      <w:p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Wybór jednostek chorobowych szczególnie istotnych z punktu widzenia populacji powiatu świdwińskiego przeprowadzono w oparciu o następujące zmienne:</w:t>
      </w:r>
    </w:p>
    <w:p w:rsidR="00482E55" w:rsidRDefault="00482E55" w:rsidP="00482E55">
      <w:pPr>
        <w:pStyle w:val="Akapitzlist"/>
        <w:numPr>
          <w:ilvl w:val="0"/>
          <w:numId w:val="4"/>
        </w:num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kryterium 1 – b</w:t>
      </w:r>
      <w:r w:rsidRPr="00E734CC">
        <w:rPr>
          <w:rFonts w:cs="Times New Roman"/>
          <w:color w:val="000000" w:themeColor="text1"/>
        </w:rPr>
        <w:t xml:space="preserve">ezwzględna liczba zgonów w obrębie danej grupy </w:t>
      </w:r>
      <w:r>
        <w:rPr>
          <w:rFonts w:cs="Times New Roman"/>
          <w:color w:val="000000" w:themeColor="text1"/>
        </w:rPr>
        <w:t>chorób układu trawiennego</w:t>
      </w:r>
      <w:r w:rsidRPr="00E734CC">
        <w:rPr>
          <w:rFonts w:cs="Times New Roman"/>
          <w:color w:val="000000" w:themeColor="text1"/>
        </w:rPr>
        <w:t xml:space="preserve"> w latach 2009-2011</w:t>
      </w:r>
      <w:r>
        <w:rPr>
          <w:rFonts w:cs="Times New Roman"/>
          <w:color w:val="000000" w:themeColor="text1"/>
        </w:rPr>
        <w:t>;</w:t>
      </w:r>
    </w:p>
    <w:p w:rsidR="00482E55" w:rsidRDefault="00482E55" w:rsidP="00482E55">
      <w:pPr>
        <w:pStyle w:val="Akapitzlist"/>
        <w:numPr>
          <w:ilvl w:val="0"/>
          <w:numId w:val="4"/>
        </w:num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kryterium 2 – </w:t>
      </w:r>
      <w:r w:rsidRPr="00E734CC">
        <w:rPr>
          <w:rFonts w:cs="Times New Roman"/>
          <w:color w:val="000000" w:themeColor="text1"/>
        </w:rPr>
        <w:t xml:space="preserve">SMR w obrębie danej grupy </w:t>
      </w:r>
      <w:r>
        <w:rPr>
          <w:rFonts w:cs="Times New Roman"/>
          <w:color w:val="000000" w:themeColor="text1"/>
        </w:rPr>
        <w:t>chorób układu trawiennego</w:t>
      </w:r>
      <w:r w:rsidRPr="00E734CC">
        <w:rPr>
          <w:rFonts w:cs="Times New Roman"/>
          <w:color w:val="000000" w:themeColor="text1"/>
        </w:rPr>
        <w:t xml:space="preserve"> w latach 2009-2011</w:t>
      </w:r>
      <w:r>
        <w:rPr>
          <w:rFonts w:cs="Times New Roman"/>
          <w:color w:val="000000" w:themeColor="text1"/>
        </w:rPr>
        <w:t>;</w:t>
      </w:r>
    </w:p>
    <w:p w:rsidR="00482E55" w:rsidRDefault="00482E55" w:rsidP="00482E55">
      <w:pPr>
        <w:pStyle w:val="Akapitzlist"/>
        <w:numPr>
          <w:ilvl w:val="0"/>
          <w:numId w:val="4"/>
        </w:num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kryterium 3 – z</w:t>
      </w:r>
      <w:r w:rsidRPr="00E734CC">
        <w:rPr>
          <w:rFonts w:cs="Times New Roman"/>
          <w:color w:val="000000" w:themeColor="text1"/>
        </w:rPr>
        <w:t>miana</w:t>
      </w:r>
      <w:r>
        <w:rPr>
          <w:rFonts w:cs="Times New Roman"/>
          <w:color w:val="000000" w:themeColor="text1"/>
        </w:rPr>
        <w:t xml:space="preserve"> poziomu </w:t>
      </w:r>
      <w:r w:rsidR="009262AD">
        <w:rPr>
          <w:rFonts w:cs="Times New Roman"/>
          <w:color w:val="000000" w:themeColor="text1"/>
        </w:rPr>
        <w:t xml:space="preserve">śmiertelności </w:t>
      </w:r>
      <w:r w:rsidRPr="00E734CC">
        <w:rPr>
          <w:rFonts w:cs="Times New Roman"/>
          <w:color w:val="000000" w:themeColor="text1"/>
        </w:rPr>
        <w:t>w długiej perspektywie</w:t>
      </w:r>
      <w:r>
        <w:rPr>
          <w:rFonts w:cs="Times New Roman"/>
          <w:color w:val="000000" w:themeColor="text1"/>
        </w:rPr>
        <w:t xml:space="preserve"> czasowej, </w:t>
      </w:r>
      <w:r w:rsidR="00D03CED">
        <w:rPr>
          <w:rFonts w:cs="Times New Roman"/>
          <w:color w:val="000000" w:themeColor="text1"/>
        </w:rPr>
        <w:t>porównanie lat 1999-2001 i 2009-2011;</w:t>
      </w:r>
    </w:p>
    <w:p w:rsidR="00482E55" w:rsidRPr="00D03CED" w:rsidRDefault="00482E55" w:rsidP="00AA067D">
      <w:pPr>
        <w:pStyle w:val="Akapitzlist"/>
        <w:numPr>
          <w:ilvl w:val="0"/>
          <w:numId w:val="4"/>
        </w:num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kryterium 4 – </w:t>
      </w:r>
      <w:r w:rsidR="00D03CED">
        <w:rPr>
          <w:rFonts w:cs="Times New Roman"/>
          <w:color w:val="000000" w:themeColor="text1"/>
        </w:rPr>
        <w:t xml:space="preserve">wiedza naukowa, </w:t>
      </w:r>
      <w:r>
        <w:rPr>
          <w:rFonts w:cs="Times New Roman"/>
          <w:color w:val="000000" w:themeColor="text1"/>
        </w:rPr>
        <w:t>d</w:t>
      </w:r>
      <w:r w:rsidRPr="00E734CC">
        <w:rPr>
          <w:rFonts w:cs="Times New Roman"/>
          <w:color w:val="000000" w:themeColor="text1"/>
        </w:rPr>
        <w:t>oświadczenie personelu</w:t>
      </w:r>
      <w:r>
        <w:rPr>
          <w:rFonts w:cs="Times New Roman"/>
          <w:color w:val="000000" w:themeColor="text1"/>
        </w:rPr>
        <w:t xml:space="preserve"> medycznego</w:t>
      </w:r>
      <w:r w:rsidR="00D2138A">
        <w:rPr>
          <w:rFonts w:cs="Times New Roman"/>
          <w:color w:val="000000" w:themeColor="text1"/>
        </w:rPr>
        <w:t>.</w:t>
      </w:r>
    </w:p>
    <w:p w:rsidR="00DB1245" w:rsidRDefault="00DB1245" w:rsidP="00DF67AB">
      <w:pPr>
        <w:ind w:firstLine="72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Poziom zgonów mierzony s</w:t>
      </w:r>
      <w:r w:rsidRPr="007A4A01">
        <w:rPr>
          <w:rFonts w:cs="Times New Roman"/>
          <w:color w:val="000000" w:themeColor="text1"/>
        </w:rPr>
        <w:t>tandaryzowany</w:t>
      </w:r>
      <w:r>
        <w:rPr>
          <w:rFonts w:cs="Times New Roman"/>
          <w:color w:val="000000" w:themeColor="text1"/>
        </w:rPr>
        <w:t>m</w:t>
      </w:r>
      <w:r w:rsidRPr="007A4A01">
        <w:rPr>
          <w:rFonts w:cs="Times New Roman"/>
          <w:color w:val="000000" w:themeColor="text1"/>
        </w:rPr>
        <w:t xml:space="preserve"> wskaźnik</w:t>
      </w:r>
      <w:r>
        <w:rPr>
          <w:rFonts w:cs="Times New Roman"/>
          <w:color w:val="000000" w:themeColor="text1"/>
        </w:rPr>
        <w:t>iem</w:t>
      </w:r>
      <w:r w:rsidRPr="007A4A01">
        <w:rPr>
          <w:rFonts w:cs="Times New Roman"/>
          <w:color w:val="000000" w:themeColor="text1"/>
        </w:rPr>
        <w:t xml:space="preserve"> umieralności (SMR) w latach 2009-2</w:t>
      </w:r>
      <w:r>
        <w:rPr>
          <w:rFonts w:cs="Times New Roman"/>
          <w:color w:val="000000" w:themeColor="text1"/>
        </w:rPr>
        <w:t xml:space="preserve">011 dla powiatu </w:t>
      </w:r>
      <w:r w:rsidR="00791A94">
        <w:rPr>
          <w:rFonts w:cs="Times New Roman"/>
          <w:color w:val="000000" w:themeColor="text1"/>
        </w:rPr>
        <w:t>świdwińskiego</w:t>
      </w:r>
      <w:r>
        <w:rPr>
          <w:rFonts w:cs="Times New Roman"/>
          <w:color w:val="000000" w:themeColor="text1"/>
        </w:rPr>
        <w:t xml:space="preserve">, w obszarze </w:t>
      </w:r>
      <w:r w:rsidR="00791A94">
        <w:rPr>
          <w:rFonts w:cs="Times New Roman"/>
          <w:color w:val="000000" w:themeColor="text1"/>
        </w:rPr>
        <w:t>chorób układu trawiennego</w:t>
      </w:r>
      <w:r w:rsidR="00D03CED">
        <w:rPr>
          <w:rFonts w:cs="Times New Roman"/>
          <w:color w:val="000000" w:themeColor="text1"/>
        </w:rPr>
        <w:t xml:space="preserve"> (ICD10: </w:t>
      </w:r>
      <w:r w:rsidR="00D03CED" w:rsidRPr="00D03CED">
        <w:rPr>
          <w:rFonts w:cs="Times New Roman"/>
          <w:color w:val="000000" w:themeColor="text1"/>
        </w:rPr>
        <w:t>K00 - K93</w:t>
      </w:r>
      <w:r w:rsidR="00D03CED">
        <w:rPr>
          <w:rFonts w:cs="Times New Roman"/>
          <w:color w:val="000000" w:themeColor="text1"/>
        </w:rPr>
        <w:t>)</w:t>
      </w:r>
      <w:r w:rsidR="00791A94">
        <w:rPr>
          <w:rFonts w:cs="Times New Roman"/>
          <w:color w:val="000000" w:themeColor="text1"/>
        </w:rPr>
        <w:t xml:space="preserve"> wyniósł</w:t>
      </w:r>
      <w:r>
        <w:rPr>
          <w:rFonts w:cs="Times New Roman"/>
          <w:color w:val="000000" w:themeColor="text1"/>
        </w:rPr>
        <w:t xml:space="preserve"> 1,</w:t>
      </w:r>
      <w:r w:rsidR="00506C0E">
        <w:rPr>
          <w:rFonts w:cs="Times New Roman"/>
          <w:color w:val="000000" w:themeColor="text1"/>
        </w:rPr>
        <w:t xml:space="preserve">226 a dla przewlekłych chorób wątroby </w:t>
      </w:r>
      <w:r w:rsidR="00D03CED">
        <w:rPr>
          <w:rFonts w:cs="Times New Roman"/>
          <w:color w:val="000000" w:themeColor="text1"/>
        </w:rPr>
        <w:t xml:space="preserve">(ICD10: </w:t>
      </w:r>
      <w:r w:rsidR="00D03CED" w:rsidRPr="00D03CED">
        <w:rPr>
          <w:rFonts w:cs="Times New Roman"/>
          <w:color w:val="000000" w:themeColor="text1"/>
        </w:rPr>
        <w:t>K70, K73, K74</w:t>
      </w:r>
      <w:r w:rsidR="00D03CED">
        <w:rPr>
          <w:rFonts w:cs="Times New Roman"/>
          <w:color w:val="000000" w:themeColor="text1"/>
        </w:rPr>
        <w:t xml:space="preserve">) </w:t>
      </w:r>
      <w:r w:rsidR="00506C0E">
        <w:rPr>
          <w:rFonts w:cs="Times New Roman"/>
          <w:color w:val="000000" w:themeColor="text1"/>
        </w:rPr>
        <w:t>1,425</w:t>
      </w:r>
      <w:r>
        <w:rPr>
          <w:rFonts w:cs="Times New Roman"/>
          <w:color w:val="000000" w:themeColor="text1"/>
        </w:rPr>
        <w:t xml:space="preserve">. </w:t>
      </w:r>
    </w:p>
    <w:p w:rsidR="00DB1245" w:rsidRPr="00AB1044" w:rsidRDefault="00506C0E" w:rsidP="00506C0E">
      <w:pPr>
        <w:pStyle w:val="Legenda"/>
      </w:pPr>
      <w:r>
        <w:t xml:space="preserve">Tabela </w:t>
      </w:r>
      <w:r w:rsidR="00967BA4">
        <w:fldChar w:fldCharType="begin"/>
      </w:r>
      <w:r>
        <w:instrText xml:space="preserve"> SEQ Tabela \* ARABIC </w:instrText>
      </w:r>
      <w:r w:rsidR="00967BA4">
        <w:fldChar w:fldCharType="separate"/>
      </w:r>
      <w:r w:rsidR="006C7416">
        <w:rPr>
          <w:noProof/>
        </w:rPr>
        <w:t>10</w:t>
      </w:r>
      <w:r w:rsidR="00967BA4">
        <w:fldChar w:fldCharType="end"/>
      </w:r>
      <w:r w:rsidR="00DB1245">
        <w:t>Standaryzowany wskaźnik</w:t>
      </w:r>
      <w:r w:rsidR="00DB1245" w:rsidRPr="00341348">
        <w:t xml:space="preserve"> umieralności (SMR) w latach 2009-2011</w:t>
      </w:r>
      <w:r w:rsidR="00DB1245">
        <w:t xml:space="preserve"> dla powiatu </w:t>
      </w:r>
      <w:r w:rsidR="001C62B6">
        <w:t xml:space="preserve">świdwińskiego </w:t>
      </w:r>
      <w:r w:rsidR="00DB1245">
        <w:t xml:space="preserve">– </w:t>
      </w:r>
      <w:r w:rsidR="001C62B6">
        <w:t>choroby układu trawiennego i wątroby</w:t>
      </w:r>
    </w:p>
    <w:tbl>
      <w:tblPr>
        <w:tblW w:w="5000" w:type="pct"/>
        <w:tblBorders>
          <w:top w:val="single" w:sz="12" w:space="0" w:color="auto"/>
          <w:bottom w:val="single" w:sz="12" w:space="0" w:color="auto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3204"/>
        <w:gridCol w:w="3205"/>
        <w:gridCol w:w="3211"/>
      </w:tblGrid>
      <w:tr w:rsidR="00791A94" w:rsidRPr="0092498D" w:rsidTr="00506C0E">
        <w:trPr>
          <w:trHeight w:val="255"/>
        </w:trPr>
        <w:tc>
          <w:tcPr>
            <w:tcW w:w="1665" w:type="pct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1A94" w:rsidRPr="0092498D" w:rsidRDefault="00791A94" w:rsidP="00506C0E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92498D">
              <w:rPr>
                <w:rFonts w:eastAsia="Times New Roman" w:cs="Times New Roman"/>
                <w:b/>
                <w:bCs/>
                <w:color w:val="000000"/>
                <w:sz w:val="20"/>
              </w:rPr>
              <w:t>Kategoria</w:t>
            </w:r>
          </w:p>
        </w:tc>
        <w:tc>
          <w:tcPr>
            <w:tcW w:w="1666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91A94" w:rsidRPr="0092498D" w:rsidRDefault="001C62B6" w:rsidP="00506C0E">
            <w:pPr>
              <w:spacing w:before="80" w:after="8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t>C</w:t>
            </w:r>
            <w:r w:rsidRPr="001C62B6">
              <w:rPr>
                <w:rFonts w:eastAsia="Times New Roman" w:cs="Times New Roman"/>
                <w:b/>
                <w:bCs/>
                <w:color w:val="000000"/>
                <w:sz w:val="20"/>
              </w:rPr>
              <w:t>horoby układu trawiennego</w:t>
            </w:r>
          </w:p>
        </w:tc>
        <w:tc>
          <w:tcPr>
            <w:tcW w:w="1669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91A94" w:rsidRPr="0092498D" w:rsidRDefault="001C62B6" w:rsidP="00506C0E">
            <w:pPr>
              <w:spacing w:before="80" w:after="8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1C62B6">
              <w:rPr>
                <w:rFonts w:eastAsia="Times New Roman" w:cs="Times New Roman"/>
                <w:b/>
                <w:bCs/>
                <w:color w:val="000000"/>
                <w:sz w:val="20"/>
              </w:rPr>
              <w:t>Przewlekłe ch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t>oroby</w:t>
            </w:r>
            <w:r w:rsidRPr="001C62B6">
              <w:rPr>
                <w:rFonts w:eastAsia="Times New Roman" w:cs="Times New Roman"/>
                <w:b/>
                <w:bCs/>
                <w:color w:val="000000"/>
                <w:sz w:val="20"/>
              </w:rPr>
              <w:t xml:space="preserve"> wątroby</w:t>
            </w:r>
          </w:p>
        </w:tc>
      </w:tr>
      <w:tr w:rsidR="00791A94" w:rsidRPr="0092498D" w:rsidTr="00506C0E">
        <w:trPr>
          <w:trHeight w:val="255"/>
        </w:trPr>
        <w:tc>
          <w:tcPr>
            <w:tcW w:w="1665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91A94" w:rsidRPr="0092498D" w:rsidRDefault="00791A94" w:rsidP="00506C0E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92498D">
              <w:rPr>
                <w:rFonts w:eastAsia="Times New Roman" w:cs="Times New Roman"/>
                <w:b/>
                <w:bCs/>
                <w:color w:val="000000"/>
                <w:sz w:val="20"/>
              </w:rPr>
              <w:t>Liczba zgonów</w:t>
            </w:r>
          </w:p>
        </w:tc>
        <w:tc>
          <w:tcPr>
            <w:tcW w:w="166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91A94" w:rsidRPr="0092498D" w:rsidRDefault="001C62B6" w:rsidP="00506C0E">
            <w:pPr>
              <w:spacing w:before="80" w:after="8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</w:rPr>
              <w:t>75</w:t>
            </w:r>
          </w:p>
        </w:tc>
        <w:tc>
          <w:tcPr>
            <w:tcW w:w="166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91A94" w:rsidRPr="0092498D" w:rsidRDefault="001C62B6" w:rsidP="00506C0E">
            <w:pPr>
              <w:spacing w:before="80" w:after="8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</w:rPr>
              <w:t>35</w:t>
            </w:r>
          </w:p>
        </w:tc>
      </w:tr>
      <w:tr w:rsidR="00791A94" w:rsidRPr="0092498D" w:rsidTr="00506C0E">
        <w:trPr>
          <w:trHeight w:val="255"/>
        </w:trPr>
        <w:tc>
          <w:tcPr>
            <w:tcW w:w="1665" w:type="pct"/>
            <w:shd w:val="clear" w:color="auto" w:fill="auto"/>
            <w:vAlign w:val="center"/>
            <w:hideMark/>
          </w:tcPr>
          <w:p w:rsidR="00791A94" w:rsidRPr="0092498D" w:rsidRDefault="00791A94" w:rsidP="00506C0E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92498D">
              <w:rPr>
                <w:rFonts w:eastAsia="Times New Roman" w:cs="Times New Roman"/>
                <w:b/>
                <w:bCs/>
                <w:color w:val="000000"/>
                <w:sz w:val="20"/>
              </w:rPr>
              <w:t>SMR</w:t>
            </w:r>
          </w:p>
        </w:tc>
        <w:tc>
          <w:tcPr>
            <w:tcW w:w="1666" w:type="pct"/>
            <w:shd w:val="clear" w:color="auto" w:fill="auto"/>
            <w:noWrap/>
            <w:vAlign w:val="center"/>
          </w:tcPr>
          <w:p w:rsidR="00791A94" w:rsidRPr="0092498D" w:rsidRDefault="001C62B6" w:rsidP="00506C0E">
            <w:pPr>
              <w:spacing w:before="80" w:after="8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</w:rPr>
              <w:t>1,226</w:t>
            </w:r>
          </w:p>
        </w:tc>
        <w:tc>
          <w:tcPr>
            <w:tcW w:w="1669" w:type="pct"/>
            <w:shd w:val="clear" w:color="auto" w:fill="auto"/>
            <w:noWrap/>
            <w:vAlign w:val="center"/>
          </w:tcPr>
          <w:p w:rsidR="00791A94" w:rsidRPr="0092498D" w:rsidRDefault="001C62B6" w:rsidP="00506C0E">
            <w:pPr>
              <w:spacing w:before="80" w:after="8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</w:rPr>
              <w:t>1,425</w:t>
            </w:r>
          </w:p>
        </w:tc>
      </w:tr>
    </w:tbl>
    <w:p w:rsidR="00DB1245" w:rsidRDefault="00DB1245" w:rsidP="00DB1245">
      <w:pPr>
        <w:spacing w:after="240" w:line="240" w:lineRule="auto"/>
        <w:jc w:val="left"/>
        <w:rPr>
          <w:rStyle w:val="Hipercze"/>
          <w:sz w:val="20"/>
        </w:rPr>
      </w:pPr>
      <w:r w:rsidRPr="00AB1044">
        <w:rPr>
          <w:sz w:val="20"/>
        </w:rPr>
        <w:t xml:space="preserve">Źródło: </w:t>
      </w:r>
      <w:r w:rsidRPr="00AB1044">
        <w:rPr>
          <w:i/>
          <w:sz w:val="20"/>
        </w:rPr>
        <w:t>Dane dotyczące standaryzowanych wskaźników umieralności (SMR)</w:t>
      </w:r>
      <w:r w:rsidRPr="00AB1044">
        <w:rPr>
          <w:sz w:val="20"/>
        </w:rPr>
        <w:t xml:space="preserve">, Ministerstwo Zdrowia za: Narodowy Instytut Zdrowia Publicznego - Państwowy Zakład Higieny, </w:t>
      </w:r>
      <w:hyperlink r:id="rId26" w:history="1">
        <w:r w:rsidRPr="00AB1044">
          <w:rPr>
            <w:rStyle w:val="Hipercze"/>
            <w:sz w:val="20"/>
          </w:rPr>
          <w:t>http://www.zdrowie.gov.pl/aktualnosc-35-2143-Dane_dotyczace_standaryzowanych_wskaznikow_umieralnosci_%28SMR%29.html</w:t>
        </w:r>
      </w:hyperlink>
      <w:r>
        <w:rPr>
          <w:rStyle w:val="Hipercze"/>
          <w:sz w:val="20"/>
        </w:rPr>
        <w:t>.</w:t>
      </w:r>
    </w:p>
    <w:p w:rsidR="00AD5F98" w:rsidRPr="00523F7D" w:rsidRDefault="009262AD" w:rsidP="009262AD">
      <w:pPr>
        <w:ind w:firstLine="720"/>
      </w:pPr>
      <w:r>
        <w:t>Zmianę</w:t>
      </w:r>
      <w:r w:rsidR="00DF67AB">
        <w:t xml:space="preserve"> poziomu </w:t>
      </w:r>
      <w:r>
        <w:t>śmiertelności</w:t>
      </w:r>
      <w:r w:rsidR="00DF67AB" w:rsidRPr="00E734CC">
        <w:t xml:space="preserve"> w długiej perspektywie</w:t>
      </w:r>
      <w:r>
        <w:t xml:space="preserve"> czasowej </w:t>
      </w:r>
      <w:proofErr w:type="spellStart"/>
      <w:r>
        <w:t>ocenionona</w:t>
      </w:r>
      <w:proofErr w:type="spellEnd"/>
      <w:r>
        <w:t xml:space="preserve"> podstawie porównania liczby zgonów i SMR</w:t>
      </w:r>
      <w:r w:rsidR="00DF67AB">
        <w:t xml:space="preserve"> lat 1999-2001 i 2009-2011</w:t>
      </w:r>
      <w:r>
        <w:t xml:space="preserve">. </w:t>
      </w:r>
      <w:r w:rsidR="00E22B8C">
        <w:t>W odniesieniu do chorób układu trawiennego zidentyfikowano znaczny wzrost liczby zgonów</w:t>
      </w:r>
      <w:r w:rsidR="00E23EFB">
        <w:t xml:space="preserve"> – dynamika wyniosła 97,4% (por. </w:t>
      </w:r>
      <w:r w:rsidR="00967BA4">
        <w:fldChar w:fldCharType="begin"/>
      </w:r>
      <w:r w:rsidR="00E23EFB">
        <w:instrText xml:space="preserve"> REF _Ref387592282 \h </w:instrText>
      </w:r>
      <w:r w:rsidR="00967BA4">
        <w:fldChar w:fldCharType="separate"/>
      </w:r>
      <w:r w:rsidR="00E23EFB">
        <w:t xml:space="preserve">Tabela </w:t>
      </w:r>
      <w:r w:rsidR="00E23EFB">
        <w:rPr>
          <w:noProof/>
        </w:rPr>
        <w:t>11</w:t>
      </w:r>
      <w:r w:rsidR="00967BA4">
        <w:fldChar w:fldCharType="end"/>
      </w:r>
      <w:r w:rsidR="00E23EFB">
        <w:t>).</w:t>
      </w:r>
    </w:p>
    <w:p w:rsidR="00AD5F98" w:rsidRPr="00F431DE" w:rsidRDefault="00F44608" w:rsidP="00F44608">
      <w:pPr>
        <w:pStyle w:val="Legenda"/>
        <w:rPr>
          <w:rStyle w:val="Hipercze"/>
          <w:rFonts w:cs="Times New Roman"/>
          <w:color w:val="000000" w:themeColor="text1"/>
          <w:u w:val="none"/>
        </w:rPr>
      </w:pPr>
      <w:bookmarkStart w:id="22" w:name="_Ref387592282"/>
      <w:r>
        <w:t xml:space="preserve">Tabela </w:t>
      </w:r>
      <w:r w:rsidR="00967BA4">
        <w:fldChar w:fldCharType="begin"/>
      </w:r>
      <w:r>
        <w:instrText xml:space="preserve"> SEQ Tabela \* ARABIC </w:instrText>
      </w:r>
      <w:r w:rsidR="00967BA4">
        <w:fldChar w:fldCharType="separate"/>
      </w:r>
      <w:r w:rsidR="006C7416">
        <w:rPr>
          <w:noProof/>
        </w:rPr>
        <w:t>11</w:t>
      </w:r>
      <w:r w:rsidR="00967BA4">
        <w:fldChar w:fldCharType="end"/>
      </w:r>
      <w:bookmarkEnd w:id="22"/>
      <w:r>
        <w:t xml:space="preserve"> Liczba zgonów i SMR dla chorób układu trawiennego ogółem – powiat świdwiński</w:t>
      </w:r>
    </w:p>
    <w:tbl>
      <w:tblPr>
        <w:tblW w:w="9370" w:type="dxa"/>
        <w:tblInd w:w="93" w:type="dxa"/>
        <w:tblBorders>
          <w:top w:val="single" w:sz="12" w:space="0" w:color="auto"/>
          <w:bottom w:val="single" w:sz="12" w:space="0" w:color="auto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1858"/>
        <w:gridCol w:w="1701"/>
        <w:gridCol w:w="1418"/>
        <w:gridCol w:w="1732"/>
        <w:gridCol w:w="1386"/>
        <w:gridCol w:w="1275"/>
      </w:tblGrid>
      <w:tr w:rsidR="00AD5F98" w:rsidRPr="00AD5F98" w:rsidTr="003E29DA">
        <w:trPr>
          <w:trHeight w:val="255"/>
        </w:trPr>
        <w:tc>
          <w:tcPr>
            <w:tcW w:w="1858" w:type="dxa"/>
            <w:vMerge w:val="restart"/>
            <w:tcBorders>
              <w:top w:val="single" w:sz="12" w:space="0" w:color="auto"/>
              <w:bottom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AD5F98" w:rsidRPr="00AD5F98" w:rsidRDefault="00AD5F98" w:rsidP="00AD5F98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AD5F98">
              <w:rPr>
                <w:rFonts w:eastAsia="Times New Roman" w:cs="Times New Roman"/>
                <w:b/>
                <w:bCs/>
                <w:color w:val="000000"/>
                <w:sz w:val="20"/>
              </w:rPr>
              <w:t>K00 - K93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bottom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AD5F98" w:rsidRPr="00AD5F98" w:rsidRDefault="00AD5F98" w:rsidP="00AD5F98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AD5F98">
              <w:rPr>
                <w:rFonts w:eastAsia="Times New Roman" w:cs="Times New Roman"/>
                <w:b/>
                <w:bCs/>
                <w:color w:val="000000"/>
                <w:sz w:val="20"/>
              </w:rPr>
              <w:t>1999-2001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bottom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AD5F98" w:rsidRPr="00AD5F98" w:rsidRDefault="00AD5F98" w:rsidP="00AD5F98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AD5F98">
              <w:rPr>
                <w:rFonts w:eastAsia="Times New Roman" w:cs="Times New Roman"/>
                <w:b/>
                <w:bCs/>
                <w:color w:val="000000"/>
                <w:sz w:val="20"/>
              </w:rPr>
              <w:t>2009-2011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F98" w:rsidRPr="00AD5F98" w:rsidRDefault="00AD5F98" w:rsidP="00AD5F98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AD5F98">
              <w:rPr>
                <w:rFonts w:eastAsia="Times New Roman" w:cs="Times New Roman"/>
                <w:b/>
                <w:bCs/>
                <w:color w:val="000000"/>
                <w:sz w:val="20"/>
              </w:rPr>
              <w:t>Dynamika zgonów</w:t>
            </w:r>
          </w:p>
        </w:tc>
      </w:tr>
      <w:tr w:rsidR="00AD5F98" w:rsidRPr="00AD5F98" w:rsidTr="003E29DA">
        <w:trPr>
          <w:trHeight w:val="255"/>
        </w:trPr>
        <w:tc>
          <w:tcPr>
            <w:tcW w:w="1858" w:type="dxa"/>
            <w:vMerge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  <w:hideMark/>
          </w:tcPr>
          <w:p w:rsidR="00AD5F98" w:rsidRPr="00AD5F98" w:rsidRDefault="00AD5F98" w:rsidP="00AD5F98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F98" w:rsidRPr="00AD5F98" w:rsidRDefault="00AD5F98" w:rsidP="00AD5F98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AD5F98">
              <w:rPr>
                <w:rFonts w:eastAsia="Times New Roman" w:cs="Times New Roman"/>
                <w:color w:val="000000"/>
                <w:sz w:val="20"/>
              </w:rPr>
              <w:t>Liczba zgonów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F98" w:rsidRPr="00AD5F98" w:rsidRDefault="00AD5F98" w:rsidP="00AD5F98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AD5F98">
              <w:rPr>
                <w:rFonts w:eastAsia="Times New Roman" w:cs="Times New Roman"/>
                <w:color w:val="000000"/>
                <w:sz w:val="20"/>
              </w:rPr>
              <w:t>SMR</w:t>
            </w:r>
          </w:p>
        </w:tc>
        <w:tc>
          <w:tcPr>
            <w:tcW w:w="1732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F98" w:rsidRPr="00AD5F98" w:rsidRDefault="00AD5F98" w:rsidP="00AD5F98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AD5F98">
              <w:rPr>
                <w:rFonts w:eastAsia="Times New Roman" w:cs="Times New Roman"/>
                <w:color w:val="000000"/>
                <w:sz w:val="20"/>
              </w:rPr>
              <w:t>Liczba zgonów</w:t>
            </w:r>
          </w:p>
        </w:tc>
        <w:tc>
          <w:tcPr>
            <w:tcW w:w="1386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F98" w:rsidRPr="00AD5F98" w:rsidRDefault="00AD5F98" w:rsidP="00AD5F98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AD5F98">
              <w:rPr>
                <w:rFonts w:eastAsia="Times New Roman" w:cs="Times New Roman"/>
                <w:color w:val="000000"/>
                <w:sz w:val="20"/>
              </w:rPr>
              <w:t>SMR</w:t>
            </w: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AD5F98" w:rsidRPr="00AD5F98" w:rsidRDefault="00AD5F98" w:rsidP="00AD5F98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</w:p>
        </w:tc>
      </w:tr>
      <w:tr w:rsidR="00AD5F98" w:rsidRPr="00AD5F98" w:rsidTr="003E29DA">
        <w:trPr>
          <w:trHeight w:val="255"/>
        </w:trPr>
        <w:tc>
          <w:tcPr>
            <w:tcW w:w="185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F98" w:rsidRPr="00AD5F98" w:rsidRDefault="00AD5F98" w:rsidP="00AD5F98">
            <w:pPr>
              <w:spacing w:before="40" w:after="40" w:line="240" w:lineRule="auto"/>
              <w:jc w:val="left"/>
              <w:rPr>
                <w:rFonts w:eastAsia="Times New Roman" w:cs="Times New Roman"/>
                <w:color w:val="000000"/>
                <w:sz w:val="20"/>
              </w:rPr>
            </w:pPr>
            <w:r w:rsidRPr="00AD5F98">
              <w:rPr>
                <w:rFonts w:eastAsia="Times New Roman" w:cs="Times New Roman"/>
                <w:color w:val="000000"/>
                <w:sz w:val="20"/>
              </w:rPr>
              <w:lastRenderedPageBreak/>
              <w:t>Kobiety ogółem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F98" w:rsidRPr="00AD5F98" w:rsidRDefault="00AD5F98" w:rsidP="00AD5F98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AD5F98">
              <w:rPr>
                <w:rFonts w:eastAsia="Times New Roman" w:cs="Times New Roman"/>
                <w:color w:val="000000"/>
                <w:sz w:val="2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F98" w:rsidRPr="00AD5F98" w:rsidRDefault="00AD5F98" w:rsidP="00AD5F98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AD5F98">
              <w:rPr>
                <w:rFonts w:eastAsia="Times New Roman" w:cs="Times New Roman"/>
                <w:color w:val="000000"/>
                <w:sz w:val="20"/>
              </w:rPr>
              <w:t>0,888</w:t>
            </w:r>
          </w:p>
        </w:tc>
        <w:tc>
          <w:tcPr>
            <w:tcW w:w="173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F98" w:rsidRPr="00AD5F98" w:rsidRDefault="00AD5F98" w:rsidP="00AD5F98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AD5F98">
              <w:rPr>
                <w:rFonts w:eastAsia="Times New Roman" w:cs="Times New Roman"/>
                <w:color w:val="000000"/>
                <w:sz w:val="20"/>
              </w:rPr>
              <w:t>31</w:t>
            </w:r>
          </w:p>
        </w:tc>
        <w:tc>
          <w:tcPr>
            <w:tcW w:w="13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F98" w:rsidRPr="00AD5F98" w:rsidRDefault="00AD5F98" w:rsidP="00AD5F98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AD5F98">
              <w:rPr>
                <w:rFonts w:eastAsia="Times New Roman" w:cs="Times New Roman"/>
                <w:color w:val="000000"/>
                <w:sz w:val="20"/>
              </w:rPr>
              <w:t>1,206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AD5F98" w:rsidRPr="00AD5F98" w:rsidRDefault="00AD5F98" w:rsidP="00AD5F98">
            <w:pPr>
              <w:spacing w:before="40" w:after="4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AD5F98">
              <w:rPr>
                <w:rFonts w:eastAsia="Times New Roman" w:cs="Times New Roman"/>
                <w:color w:val="000000"/>
                <w:sz w:val="20"/>
              </w:rPr>
              <w:t>82,4%</w:t>
            </w:r>
          </w:p>
        </w:tc>
      </w:tr>
      <w:tr w:rsidR="00AD5F98" w:rsidRPr="00AD5F98" w:rsidTr="003E29DA">
        <w:trPr>
          <w:trHeight w:val="255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AD5F98" w:rsidRPr="00AD5F98" w:rsidRDefault="00AD5F98" w:rsidP="00AD5F98">
            <w:pPr>
              <w:spacing w:before="40" w:after="40" w:line="240" w:lineRule="auto"/>
              <w:jc w:val="left"/>
              <w:rPr>
                <w:rFonts w:eastAsia="Times New Roman" w:cs="Times New Roman"/>
                <w:color w:val="000000"/>
                <w:sz w:val="20"/>
              </w:rPr>
            </w:pPr>
            <w:r w:rsidRPr="00AD5F98">
              <w:rPr>
                <w:rFonts w:eastAsia="Times New Roman" w:cs="Times New Roman"/>
                <w:color w:val="000000"/>
                <w:sz w:val="20"/>
              </w:rPr>
              <w:t>Mężczyźni ogółem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D5F98" w:rsidRPr="00AD5F98" w:rsidRDefault="00AD5F98" w:rsidP="00AD5F98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AD5F98">
              <w:rPr>
                <w:rFonts w:eastAsia="Times New Roman" w:cs="Times New Roman"/>
                <w:color w:val="000000"/>
                <w:sz w:val="20"/>
              </w:rPr>
              <w:t>21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D5F98" w:rsidRPr="00AD5F98" w:rsidRDefault="00AD5F98" w:rsidP="00AD5F98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AD5F98">
              <w:rPr>
                <w:rFonts w:eastAsia="Times New Roman" w:cs="Times New Roman"/>
                <w:color w:val="000000"/>
                <w:sz w:val="20"/>
              </w:rPr>
              <w:t>0,827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AD5F98" w:rsidRPr="00AD5F98" w:rsidRDefault="00AD5F98" w:rsidP="00AD5F98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AD5F98">
              <w:rPr>
                <w:rFonts w:eastAsia="Times New Roman" w:cs="Times New Roman"/>
                <w:color w:val="000000"/>
                <w:sz w:val="20"/>
              </w:rPr>
              <w:t>44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AD5F98" w:rsidRPr="00AD5F98" w:rsidRDefault="00AD5F98" w:rsidP="00AD5F98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AD5F98">
              <w:rPr>
                <w:rFonts w:eastAsia="Times New Roman" w:cs="Times New Roman"/>
                <w:color w:val="000000"/>
                <w:sz w:val="20"/>
              </w:rPr>
              <w:t>1,225</w:t>
            </w:r>
          </w:p>
        </w:tc>
        <w:tc>
          <w:tcPr>
            <w:tcW w:w="1275" w:type="dxa"/>
            <w:tcBorders>
              <w:top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AD5F98" w:rsidRPr="00AD5F98" w:rsidRDefault="00AD5F98" w:rsidP="00AD5F98">
            <w:pPr>
              <w:spacing w:before="40" w:after="4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AD5F98">
              <w:rPr>
                <w:rFonts w:eastAsia="Times New Roman" w:cs="Times New Roman"/>
                <w:color w:val="000000"/>
                <w:sz w:val="20"/>
              </w:rPr>
              <w:t>109,5%</w:t>
            </w:r>
          </w:p>
        </w:tc>
      </w:tr>
      <w:tr w:rsidR="00AD5F98" w:rsidRPr="00AD5F98" w:rsidTr="003E29DA">
        <w:trPr>
          <w:trHeight w:val="188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AD5F98" w:rsidRPr="00AD5F98" w:rsidRDefault="00AD5F98" w:rsidP="00AD5F98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color w:val="000000"/>
                <w:sz w:val="20"/>
              </w:rPr>
            </w:pPr>
            <w:r w:rsidRPr="00AD5F98">
              <w:rPr>
                <w:rFonts w:eastAsia="Times New Roman" w:cs="Times New Roman"/>
                <w:b/>
                <w:color w:val="000000"/>
                <w:sz w:val="20"/>
              </w:rPr>
              <w:t>Suma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D5F98" w:rsidRPr="00AD5F98" w:rsidRDefault="00AD5F98" w:rsidP="00AD5F98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</w:rPr>
            </w:pPr>
            <w:r w:rsidRPr="00AD5F98">
              <w:rPr>
                <w:rFonts w:eastAsia="Times New Roman" w:cs="Times New Roman"/>
                <w:b/>
                <w:color w:val="000000"/>
                <w:sz w:val="20"/>
              </w:rPr>
              <w:t>38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D5F98" w:rsidRPr="00AD5F98" w:rsidRDefault="00AD5F98" w:rsidP="00AD5F98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</w:rPr>
            </w:pPr>
            <w:r w:rsidRPr="00AD5F98">
              <w:rPr>
                <w:rFonts w:eastAsia="Times New Roman" w:cs="Times New Roman"/>
                <w:b/>
                <w:color w:val="000000"/>
                <w:sz w:val="20"/>
              </w:rPr>
              <w:t>-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AD5F98" w:rsidRPr="00AD5F98" w:rsidRDefault="00AD5F98" w:rsidP="00AD5F98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</w:rPr>
            </w:pPr>
            <w:r w:rsidRPr="00AD5F98">
              <w:rPr>
                <w:rFonts w:eastAsia="Times New Roman" w:cs="Times New Roman"/>
                <w:b/>
                <w:color w:val="000000"/>
                <w:sz w:val="20"/>
              </w:rPr>
              <w:t>75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AD5F98" w:rsidRPr="00AD5F98" w:rsidRDefault="00AD5F98" w:rsidP="00AD5F98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</w:rPr>
            </w:pPr>
            <w:r w:rsidRPr="00AD5F98">
              <w:rPr>
                <w:rFonts w:eastAsia="Times New Roman" w:cs="Times New Roman"/>
                <w:b/>
                <w:color w:val="000000"/>
                <w:sz w:val="20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D5F98" w:rsidRPr="00AD5F98" w:rsidRDefault="00AD5F98" w:rsidP="00AD5F98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color w:val="000000"/>
                <w:sz w:val="20"/>
              </w:rPr>
            </w:pPr>
            <w:r w:rsidRPr="00AD5F98">
              <w:rPr>
                <w:rFonts w:eastAsia="Times New Roman" w:cs="Times New Roman"/>
                <w:b/>
                <w:color w:val="000000"/>
                <w:sz w:val="20"/>
              </w:rPr>
              <w:t>97,4%</w:t>
            </w:r>
          </w:p>
        </w:tc>
      </w:tr>
    </w:tbl>
    <w:p w:rsidR="00F44608" w:rsidRPr="00F44608" w:rsidRDefault="00F44608" w:rsidP="00F44608">
      <w:pPr>
        <w:spacing w:after="240" w:line="240" w:lineRule="auto"/>
        <w:jc w:val="left"/>
        <w:rPr>
          <w:sz w:val="20"/>
        </w:rPr>
      </w:pPr>
      <w:r>
        <w:rPr>
          <w:sz w:val="20"/>
        </w:rPr>
        <w:t xml:space="preserve">Źródło: </w:t>
      </w:r>
      <w:r w:rsidRPr="00F44608">
        <w:rPr>
          <w:i/>
          <w:sz w:val="20"/>
        </w:rPr>
        <w:t>Atl</w:t>
      </w:r>
      <w:r>
        <w:rPr>
          <w:i/>
          <w:sz w:val="20"/>
        </w:rPr>
        <w:t>as umieralności ludności Polski w latach 1999-2001 i 2008-2010</w:t>
      </w:r>
      <w:r w:rsidRPr="00F44608">
        <w:rPr>
          <w:sz w:val="20"/>
        </w:rPr>
        <w:t>, Narodo</w:t>
      </w:r>
      <w:r>
        <w:rPr>
          <w:sz w:val="20"/>
        </w:rPr>
        <w:t xml:space="preserve">wy Instytut Zdrowia Publicznego - Państwowy Zakład Higieny, Zakład - Centrum Monitorowania i Analiz Stanu Zdrowia Ludności, </w:t>
      </w:r>
      <w:r w:rsidRPr="00F44608">
        <w:rPr>
          <w:sz w:val="20"/>
        </w:rPr>
        <w:t>Warszawa 2012</w:t>
      </w:r>
      <w:r>
        <w:rPr>
          <w:sz w:val="20"/>
        </w:rPr>
        <w:t xml:space="preserve">, </w:t>
      </w:r>
      <w:hyperlink r:id="rId27" w:history="1">
        <w:r w:rsidRPr="004C6FE0">
          <w:rPr>
            <w:rStyle w:val="Hipercze"/>
            <w:sz w:val="20"/>
          </w:rPr>
          <w:t>http://www.atlas.pzh.gov.pl/</w:t>
        </w:r>
      </w:hyperlink>
      <w:r>
        <w:rPr>
          <w:sz w:val="20"/>
        </w:rPr>
        <w:t>.</w:t>
      </w:r>
    </w:p>
    <w:p w:rsidR="00F240C7" w:rsidRPr="00523F7D" w:rsidRDefault="00E23EFB" w:rsidP="004C2D6E">
      <w:r>
        <w:tab/>
        <w:t xml:space="preserve">Blisko 50% </w:t>
      </w:r>
      <w:r w:rsidR="004C2D6E">
        <w:t xml:space="preserve">wszystkich zgonów jest pochodną przewlekłych chorób wątroby. Dynamika zgonów w tej grupie schorzeń wyniosła 94,4% (por. </w:t>
      </w:r>
      <w:r w:rsidR="00967BA4">
        <w:fldChar w:fldCharType="begin"/>
      </w:r>
      <w:r w:rsidR="004C2D6E">
        <w:instrText xml:space="preserve"> REF _Ref387592778 \h </w:instrText>
      </w:r>
      <w:r w:rsidR="00967BA4">
        <w:fldChar w:fldCharType="separate"/>
      </w:r>
      <w:r w:rsidR="004C2D6E">
        <w:t xml:space="preserve">Tabela </w:t>
      </w:r>
      <w:r w:rsidR="004C2D6E">
        <w:rPr>
          <w:noProof/>
        </w:rPr>
        <w:t>12</w:t>
      </w:r>
      <w:r w:rsidR="00967BA4">
        <w:fldChar w:fldCharType="end"/>
      </w:r>
      <w:r w:rsidR="004C2D6E">
        <w:t>).</w:t>
      </w:r>
    </w:p>
    <w:p w:rsidR="00AD5F98" w:rsidRDefault="00F44608" w:rsidP="00F44608">
      <w:pPr>
        <w:pStyle w:val="Legenda"/>
        <w:rPr>
          <w:rStyle w:val="Hipercze"/>
          <w:sz w:val="20"/>
        </w:rPr>
      </w:pPr>
      <w:bookmarkStart w:id="23" w:name="_Ref387592778"/>
      <w:r>
        <w:t xml:space="preserve">Tabela </w:t>
      </w:r>
      <w:r w:rsidR="00967BA4">
        <w:fldChar w:fldCharType="begin"/>
      </w:r>
      <w:r>
        <w:instrText xml:space="preserve"> SEQ Tabela \* ARABIC </w:instrText>
      </w:r>
      <w:r w:rsidR="00967BA4">
        <w:fldChar w:fldCharType="separate"/>
      </w:r>
      <w:r w:rsidR="006C7416">
        <w:rPr>
          <w:noProof/>
        </w:rPr>
        <w:t>12</w:t>
      </w:r>
      <w:r w:rsidR="00967BA4">
        <w:fldChar w:fldCharType="end"/>
      </w:r>
      <w:bookmarkEnd w:id="23"/>
      <w:r>
        <w:t xml:space="preserve"> Liczba zgonów i SMR dla przewlekłych chorób wątroby – powiat świdwiński</w:t>
      </w:r>
    </w:p>
    <w:tbl>
      <w:tblPr>
        <w:tblW w:w="9371" w:type="dxa"/>
        <w:tblInd w:w="93" w:type="dxa"/>
        <w:tblBorders>
          <w:top w:val="single" w:sz="12" w:space="0" w:color="auto"/>
          <w:bottom w:val="single" w:sz="12" w:space="0" w:color="auto"/>
          <w:insideH w:val="single" w:sz="4" w:space="0" w:color="FFFFFF" w:themeColor="background1"/>
        </w:tblBorders>
        <w:tblLook w:val="04A0"/>
      </w:tblPr>
      <w:tblGrid>
        <w:gridCol w:w="1858"/>
        <w:gridCol w:w="1701"/>
        <w:gridCol w:w="1418"/>
        <w:gridCol w:w="1701"/>
        <w:gridCol w:w="1417"/>
        <w:gridCol w:w="1276"/>
      </w:tblGrid>
      <w:tr w:rsidR="003D7073" w:rsidRPr="003D7073" w:rsidTr="003E29DA">
        <w:trPr>
          <w:trHeight w:val="255"/>
        </w:trPr>
        <w:tc>
          <w:tcPr>
            <w:tcW w:w="1858" w:type="dxa"/>
            <w:vMerge w:val="restart"/>
            <w:tcBorders>
              <w:top w:val="single" w:sz="12" w:space="0" w:color="auto"/>
              <w:bottom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3D7073" w:rsidRPr="003D7073" w:rsidRDefault="003D7073" w:rsidP="00F44608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3D7073">
              <w:rPr>
                <w:rFonts w:eastAsia="Times New Roman" w:cs="Times New Roman"/>
                <w:b/>
                <w:bCs/>
                <w:color w:val="000000"/>
                <w:sz w:val="20"/>
              </w:rPr>
              <w:t>K70, K73, K74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bottom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3D7073" w:rsidRPr="003D7073" w:rsidRDefault="003D7073" w:rsidP="00F44608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3D7073">
              <w:rPr>
                <w:rFonts w:eastAsia="Times New Roman" w:cs="Times New Roman"/>
                <w:b/>
                <w:bCs/>
                <w:color w:val="000000"/>
                <w:sz w:val="20"/>
              </w:rPr>
              <w:t>1999-2001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bottom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3D7073" w:rsidRPr="003D7073" w:rsidRDefault="003D7073" w:rsidP="00F44608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3D7073">
              <w:rPr>
                <w:rFonts w:eastAsia="Times New Roman" w:cs="Times New Roman"/>
                <w:b/>
                <w:bCs/>
                <w:color w:val="000000"/>
                <w:sz w:val="20"/>
              </w:rPr>
              <w:t>2009-2011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73" w:rsidRPr="003D7073" w:rsidRDefault="003D7073" w:rsidP="00F44608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3D7073">
              <w:rPr>
                <w:rFonts w:eastAsia="Times New Roman" w:cs="Times New Roman"/>
                <w:b/>
                <w:bCs/>
                <w:color w:val="000000"/>
                <w:sz w:val="20"/>
              </w:rPr>
              <w:t>Dynamika zgonów</w:t>
            </w:r>
          </w:p>
        </w:tc>
      </w:tr>
      <w:tr w:rsidR="003D7073" w:rsidRPr="003D7073" w:rsidTr="003E29DA">
        <w:trPr>
          <w:trHeight w:val="255"/>
        </w:trPr>
        <w:tc>
          <w:tcPr>
            <w:tcW w:w="1858" w:type="dxa"/>
            <w:vMerge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  <w:hideMark/>
          </w:tcPr>
          <w:p w:rsidR="003D7073" w:rsidRPr="003D7073" w:rsidRDefault="003D7073" w:rsidP="00F44608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73" w:rsidRPr="003D7073" w:rsidRDefault="003D7073" w:rsidP="00F44608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D7073">
              <w:rPr>
                <w:rFonts w:eastAsia="Times New Roman" w:cs="Times New Roman"/>
                <w:color w:val="000000"/>
                <w:sz w:val="20"/>
              </w:rPr>
              <w:t>Liczba zgonów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73" w:rsidRPr="003D7073" w:rsidRDefault="003D7073" w:rsidP="00F44608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D7073">
              <w:rPr>
                <w:rFonts w:eastAsia="Times New Roman" w:cs="Times New Roman"/>
                <w:color w:val="000000"/>
                <w:sz w:val="20"/>
              </w:rPr>
              <w:t>SMR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73" w:rsidRPr="003D7073" w:rsidRDefault="003D7073" w:rsidP="00F44608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D7073">
              <w:rPr>
                <w:rFonts w:eastAsia="Times New Roman" w:cs="Times New Roman"/>
                <w:color w:val="000000"/>
                <w:sz w:val="20"/>
              </w:rPr>
              <w:t>Liczba zgonów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73" w:rsidRPr="003D7073" w:rsidRDefault="003D7073" w:rsidP="00F44608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D7073">
              <w:rPr>
                <w:rFonts w:eastAsia="Times New Roman" w:cs="Times New Roman"/>
                <w:color w:val="000000"/>
                <w:sz w:val="20"/>
              </w:rPr>
              <w:t>SMR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D7073" w:rsidRPr="003D7073" w:rsidRDefault="003D7073" w:rsidP="00F44608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</w:p>
        </w:tc>
      </w:tr>
      <w:tr w:rsidR="003D7073" w:rsidRPr="003D7073" w:rsidTr="003E29DA">
        <w:trPr>
          <w:trHeight w:val="255"/>
        </w:trPr>
        <w:tc>
          <w:tcPr>
            <w:tcW w:w="185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73" w:rsidRPr="003D7073" w:rsidRDefault="003D7073" w:rsidP="00F44608">
            <w:pPr>
              <w:spacing w:before="40" w:after="40" w:line="240" w:lineRule="auto"/>
              <w:jc w:val="left"/>
              <w:rPr>
                <w:rFonts w:eastAsia="Times New Roman" w:cs="Times New Roman"/>
                <w:color w:val="000000"/>
                <w:sz w:val="20"/>
              </w:rPr>
            </w:pPr>
            <w:r w:rsidRPr="003D7073">
              <w:rPr>
                <w:rFonts w:eastAsia="Times New Roman" w:cs="Times New Roman"/>
                <w:color w:val="000000"/>
                <w:sz w:val="20"/>
              </w:rPr>
              <w:t>Kobiety ogółem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73" w:rsidRPr="003D7073" w:rsidRDefault="003D7073" w:rsidP="00F44608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D7073">
              <w:rPr>
                <w:rFonts w:eastAsia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73" w:rsidRPr="003D7073" w:rsidRDefault="003D7073" w:rsidP="00F44608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D7073">
              <w:rPr>
                <w:rFonts w:eastAsia="Times New Roman" w:cs="Times New Roman"/>
                <w:color w:val="000000"/>
                <w:sz w:val="20"/>
              </w:rPr>
              <w:t>0,912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73" w:rsidRPr="003D7073" w:rsidRDefault="003D7073" w:rsidP="00F44608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D7073">
              <w:rPr>
                <w:rFonts w:eastAsia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73" w:rsidRPr="003D7073" w:rsidRDefault="003D7073" w:rsidP="00F44608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D7073">
              <w:rPr>
                <w:rFonts w:eastAsia="Times New Roman" w:cs="Times New Roman"/>
                <w:color w:val="000000"/>
                <w:sz w:val="20"/>
              </w:rPr>
              <w:t>1,446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3D7073" w:rsidRPr="003D7073" w:rsidRDefault="003D7073" w:rsidP="00F44608">
            <w:pPr>
              <w:spacing w:before="40" w:after="4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3D7073">
              <w:rPr>
                <w:rFonts w:eastAsia="Times New Roman" w:cs="Times New Roman"/>
                <w:color w:val="000000"/>
                <w:sz w:val="20"/>
              </w:rPr>
              <w:t>66,7%</w:t>
            </w:r>
          </w:p>
        </w:tc>
      </w:tr>
      <w:tr w:rsidR="003D7073" w:rsidRPr="003D7073" w:rsidTr="003E29DA">
        <w:trPr>
          <w:trHeight w:val="255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D7073" w:rsidRPr="003D7073" w:rsidRDefault="003D7073" w:rsidP="00F44608">
            <w:pPr>
              <w:spacing w:before="40" w:after="40" w:line="240" w:lineRule="auto"/>
              <w:jc w:val="left"/>
              <w:rPr>
                <w:rFonts w:eastAsia="Times New Roman" w:cs="Times New Roman"/>
                <w:color w:val="000000"/>
                <w:sz w:val="20"/>
              </w:rPr>
            </w:pPr>
            <w:r w:rsidRPr="003D7073">
              <w:rPr>
                <w:rFonts w:eastAsia="Times New Roman" w:cs="Times New Roman"/>
                <w:color w:val="000000"/>
                <w:sz w:val="20"/>
              </w:rPr>
              <w:t>Mężczyźni ogółem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D7073" w:rsidRPr="003D7073" w:rsidRDefault="003D7073" w:rsidP="00F44608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D7073">
              <w:rPr>
                <w:rFonts w:eastAsia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D7073" w:rsidRPr="003D7073" w:rsidRDefault="003D7073" w:rsidP="00F44608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D7073">
              <w:rPr>
                <w:rFonts w:eastAsia="Times New Roman" w:cs="Times New Roman"/>
                <w:color w:val="000000"/>
                <w:sz w:val="20"/>
              </w:rPr>
              <w:t>0,830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D7073" w:rsidRPr="003D7073" w:rsidRDefault="003D7073" w:rsidP="00F44608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D7073">
              <w:rPr>
                <w:rFonts w:eastAsia="Times New Roman" w:cs="Times New Roman"/>
                <w:color w:val="000000"/>
                <w:sz w:val="20"/>
              </w:rPr>
              <w:t>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7073" w:rsidRPr="003D7073" w:rsidRDefault="003D7073" w:rsidP="00F44608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D7073">
              <w:rPr>
                <w:rFonts w:eastAsia="Times New Roman" w:cs="Times New Roman"/>
                <w:color w:val="000000"/>
                <w:sz w:val="20"/>
              </w:rPr>
              <w:t>1,391</w:t>
            </w:r>
          </w:p>
        </w:tc>
        <w:tc>
          <w:tcPr>
            <w:tcW w:w="1276" w:type="dxa"/>
            <w:tcBorders>
              <w:top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3D7073" w:rsidRPr="003D7073" w:rsidRDefault="003D7073" w:rsidP="00F44608">
            <w:pPr>
              <w:spacing w:before="40" w:after="4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3D7073">
              <w:rPr>
                <w:rFonts w:eastAsia="Times New Roman" w:cs="Times New Roman"/>
                <w:color w:val="000000"/>
                <w:sz w:val="20"/>
              </w:rPr>
              <w:t>108,3%</w:t>
            </w:r>
          </w:p>
        </w:tc>
      </w:tr>
      <w:tr w:rsidR="003D7073" w:rsidRPr="003D7073" w:rsidTr="003E29DA">
        <w:trPr>
          <w:trHeight w:val="255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D7073" w:rsidRPr="003D7073" w:rsidRDefault="003D7073" w:rsidP="00F44608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color w:val="000000"/>
                <w:sz w:val="20"/>
              </w:rPr>
            </w:pPr>
            <w:r w:rsidRPr="003D7073">
              <w:rPr>
                <w:rFonts w:eastAsia="Times New Roman" w:cs="Times New Roman"/>
                <w:b/>
                <w:color w:val="000000"/>
                <w:sz w:val="20"/>
              </w:rPr>
              <w:t>Suma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D7073" w:rsidRPr="003D7073" w:rsidRDefault="003D7073" w:rsidP="00F44608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</w:rPr>
            </w:pPr>
            <w:r w:rsidRPr="003D7073">
              <w:rPr>
                <w:rFonts w:eastAsia="Times New Roman" w:cs="Times New Roman"/>
                <w:b/>
                <w:color w:val="000000"/>
                <w:sz w:val="20"/>
              </w:rPr>
              <w:t>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D7073" w:rsidRPr="003D7073" w:rsidRDefault="003D7073" w:rsidP="00F44608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</w:rPr>
            </w:pPr>
            <w:r w:rsidRPr="003D7073">
              <w:rPr>
                <w:rFonts w:eastAsia="Times New Roman" w:cs="Times New Roman"/>
                <w:b/>
                <w:color w:val="000000"/>
                <w:sz w:val="20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D7073" w:rsidRPr="003D7073" w:rsidRDefault="003D7073" w:rsidP="00F44608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</w:rPr>
            </w:pPr>
            <w:r w:rsidRPr="003D7073">
              <w:rPr>
                <w:rFonts w:eastAsia="Times New Roman" w:cs="Times New Roman"/>
                <w:b/>
                <w:color w:val="000000"/>
                <w:sz w:val="20"/>
              </w:rPr>
              <w:t>35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7073" w:rsidRPr="003D7073" w:rsidRDefault="003D7073" w:rsidP="00F44608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</w:rPr>
            </w:pPr>
            <w:r w:rsidRPr="003D7073">
              <w:rPr>
                <w:rFonts w:eastAsia="Times New Roman" w:cs="Times New Roman"/>
                <w:b/>
                <w:color w:val="000000"/>
                <w:sz w:val="20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D7073" w:rsidRPr="003D7073" w:rsidRDefault="003D7073" w:rsidP="00F44608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color w:val="000000"/>
                <w:sz w:val="20"/>
              </w:rPr>
            </w:pPr>
            <w:r w:rsidRPr="003D7073">
              <w:rPr>
                <w:rFonts w:eastAsia="Times New Roman" w:cs="Times New Roman"/>
                <w:b/>
                <w:color w:val="000000"/>
                <w:sz w:val="20"/>
              </w:rPr>
              <w:t>94,4%</w:t>
            </w:r>
          </w:p>
        </w:tc>
      </w:tr>
    </w:tbl>
    <w:p w:rsidR="00422E6A" w:rsidRDefault="00F44608" w:rsidP="00422E6A">
      <w:pPr>
        <w:spacing w:after="240" w:line="240" w:lineRule="auto"/>
        <w:jc w:val="left"/>
        <w:rPr>
          <w:sz w:val="20"/>
        </w:rPr>
      </w:pPr>
      <w:r>
        <w:rPr>
          <w:sz w:val="20"/>
        </w:rPr>
        <w:t xml:space="preserve">Źródło: </w:t>
      </w:r>
      <w:r w:rsidRPr="00F44608">
        <w:rPr>
          <w:i/>
          <w:sz w:val="20"/>
        </w:rPr>
        <w:t>Atl</w:t>
      </w:r>
      <w:r>
        <w:rPr>
          <w:i/>
          <w:sz w:val="20"/>
        </w:rPr>
        <w:t>as umieralności ludności Polski w latach 1999-2001 i 2008-2010</w:t>
      </w:r>
      <w:r w:rsidRPr="00F44608">
        <w:rPr>
          <w:sz w:val="20"/>
        </w:rPr>
        <w:t>, Narodo</w:t>
      </w:r>
      <w:r>
        <w:rPr>
          <w:sz w:val="20"/>
        </w:rPr>
        <w:t xml:space="preserve">wy Instytut Zdrowia Publicznego - Państwowy Zakład Higieny, Zakład - Centrum Monitorowania i Analiz Stanu Zdrowia Ludności, </w:t>
      </w:r>
      <w:r w:rsidRPr="00F44608">
        <w:rPr>
          <w:sz w:val="20"/>
        </w:rPr>
        <w:t>Warszawa 2012</w:t>
      </w:r>
      <w:r>
        <w:rPr>
          <w:sz w:val="20"/>
        </w:rPr>
        <w:t xml:space="preserve">, </w:t>
      </w:r>
      <w:hyperlink r:id="rId28" w:history="1">
        <w:r w:rsidRPr="004C6FE0">
          <w:rPr>
            <w:rStyle w:val="Hipercze"/>
            <w:sz w:val="20"/>
          </w:rPr>
          <w:t>http://www.atlas.pzh.gov.pl/</w:t>
        </w:r>
      </w:hyperlink>
      <w:r>
        <w:rPr>
          <w:sz w:val="20"/>
        </w:rPr>
        <w:t>.</w:t>
      </w:r>
    </w:p>
    <w:p w:rsidR="00422E6A" w:rsidRDefault="00422E6A" w:rsidP="00507916">
      <w:r>
        <w:t>W 2012 r. z powodu schorzeń współwystępujących np.</w:t>
      </w:r>
      <w:r w:rsidR="00507916">
        <w:t xml:space="preserve"> cukrzycy</w:t>
      </w:r>
      <w:r>
        <w:t xml:space="preserve"> leczyło się ponad 2 000 osób, a wskaźnik na 10. tys. mieszkańców wyniósł 45,4. Na oddziałach chorób wewnętrznych leczy się średnio 1 300 osób rocznie</w:t>
      </w:r>
      <w:r w:rsidR="00F9468E">
        <w:rPr>
          <w:rStyle w:val="Odwoanieprzypisudolnego"/>
        </w:rPr>
        <w:footnoteReference w:id="7"/>
      </w:r>
      <w:r w:rsidR="00507916">
        <w:t xml:space="preserve">.  Wskaźnik liczba leczonych na 1 </w:t>
      </w:r>
      <w:proofErr w:type="spellStart"/>
      <w:r w:rsidR="00507916">
        <w:t>łóżkona</w:t>
      </w:r>
      <w:proofErr w:type="spellEnd"/>
      <w:r w:rsidR="00507916">
        <w:t xml:space="preserve"> oddziałach wewnętrznych był niższy niż średnia dla województwa, jednakże okres hospitalizacji był dłuższy</w:t>
      </w:r>
      <w:r w:rsidR="003E29DA">
        <w:rPr>
          <w:rStyle w:val="Odwoanieprzypisudolnego"/>
        </w:rPr>
        <w:footnoteReference w:id="8"/>
      </w:r>
      <w:r w:rsidR="00507916">
        <w:t>.</w:t>
      </w:r>
    </w:p>
    <w:p w:rsidR="000620A1" w:rsidRDefault="00507916" w:rsidP="001D6870">
      <w:pPr>
        <w:ind w:firstLine="720"/>
      </w:pPr>
      <w:r>
        <w:t>Choroby układu trawiennego często wynikają z problemów w procesie</w:t>
      </w:r>
      <w:r w:rsidR="00F7566C">
        <w:t xml:space="preserve"> wchłaniania pojawiających się w </w:t>
      </w:r>
      <w:r w:rsidR="002F7920">
        <w:t>okresie dziecięcym oraz młodzieńczym i są pochodną nieprawidłowości metabolicznych oraz alergii. W tym kontekście przeanalizowano stan opieki</w:t>
      </w:r>
      <w:r w:rsidR="00DB46D0">
        <w:t xml:space="preserve"> lekarskiej</w:t>
      </w:r>
      <w:r>
        <w:t xml:space="preserve"> nad dziećmi</w:t>
      </w:r>
      <w:r w:rsidR="002F7920">
        <w:t xml:space="preserve"> i młodzieżą. Wskaźnik porad lekarskich udzielonym dzieciom zdrowym do 3. roku życia wyniósł 72, 4 i był niższy niż średnia wojewódzka 77,7)</w:t>
      </w:r>
      <w:r w:rsidR="008479F9">
        <w:rPr>
          <w:rStyle w:val="Odwoanieprzypisudolnego"/>
        </w:rPr>
        <w:footnoteReference w:id="9"/>
      </w:r>
      <w:r w:rsidR="002F7920">
        <w:t>.</w:t>
      </w:r>
      <w:r w:rsidR="00CB0C1F">
        <w:t xml:space="preserve"> Analiza populacji dzieci i młodzieży szkolnej przeprowadzona </w:t>
      </w:r>
      <w:r w:rsidR="00CB0C1F">
        <w:lastRenderedPageBreak/>
        <w:t xml:space="preserve">badaniem kwestionariuszowym wskazała, że wzrasta zapadalność na choroby metaboliczne (cukrzyca), jak również zdiagnozowano nieprawidłowości w masie ciała. Przeważają problemy z nadwagą, jednakże w badaniu stwierdzono również jednostkowe przypadki niedowagi. </w:t>
      </w:r>
      <w:r w:rsidR="00DB46D0">
        <w:t>W związku z powyższym, z</w:t>
      </w:r>
      <w:r w:rsidR="00CB0C1F">
        <w:t>decydowano, że programem profilaktyki objęte zostaną także schorzenia czynnościowe, tj. zaburzenia</w:t>
      </w:r>
      <w:r w:rsidR="00D2138A">
        <w:t xml:space="preserve"> wchłaniania</w:t>
      </w:r>
      <w:r w:rsidR="00CB0C1F">
        <w:t xml:space="preserve"> i alergie oraz </w:t>
      </w:r>
      <w:r w:rsidR="00D2138A">
        <w:t>schorzenia jamy ustnej.</w:t>
      </w:r>
    </w:p>
    <w:p w:rsidR="00AA7D74" w:rsidRDefault="0045693D" w:rsidP="00AA7D74">
      <w:pPr>
        <w:ind w:firstLine="720"/>
      </w:pPr>
      <w:r>
        <w:t xml:space="preserve">Na potrzeby analizy wykorzystano </w:t>
      </w:r>
      <w:proofErr w:type="spellStart"/>
      <w:r>
        <w:t>takżedane</w:t>
      </w:r>
      <w:proofErr w:type="spellEnd"/>
      <w:r>
        <w:t xml:space="preserve"> zgromadzone przez </w:t>
      </w:r>
      <w:r w:rsidRPr="0045693D">
        <w:t>Państwowy Powiatowy Inspektor</w:t>
      </w:r>
      <w:r>
        <w:t>at</w:t>
      </w:r>
      <w:r w:rsidRPr="0045693D">
        <w:t xml:space="preserve"> Sanitarny w Świdwinie</w:t>
      </w:r>
      <w:r>
        <w:rPr>
          <w:rStyle w:val="Odwoanieprzypisudolnego"/>
        </w:rPr>
        <w:footnoteReference w:id="10"/>
      </w:r>
      <w:r>
        <w:t>.</w:t>
      </w:r>
      <w:r w:rsidR="00AA7D74">
        <w:t xml:space="preserve">  Z perspektywy obszaru interwencji, kluczowe wnioski dla powiatu przedstawiono poniżej:</w:t>
      </w:r>
    </w:p>
    <w:p w:rsidR="00AA7D74" w:rsidRDefault="00AA7D74" w:rsidP="00AA7D74">
      <w:pPr>
        <w:pStyle w:val="Akapitzlist"/>
        <w:numPr>
          <w:ilvl w:val="0"/>
          <w:numId w:val="14"/>
        </w:numPr>
      </w:pPr>
      <w:r>
        <w:t>w latach 2012-2013 zidentyfikowano 12 ognisk zakażeń układu pokarmowego;</w:t>
      </w:r>
    </w:p>
    <w:p w:rsidR="00AA7D74" w:rsidRDefault="00AA7D74" w:rsidP="00AA7D74">
      <w:pPr>
        <w:pStyle w:val="Akapitzlist"/>
        <w:numPr>
          <w:ilvl w:val="0"/>
          <w:numId w:val="14"/>
        </w:numPr>
      </w:pPr>
      <w:r>
        <w:t xml:space="preserve">w latach 2012-2013 zidentyfikowano 8 zachorowań na WZW typu C. </w:t>
      </w:r>
    </w:p>
    <w:p w:rsidR="00AA7D74" w:rsidRPr="003E29DA" w:rsidRDefault="00AA7D74" w:rsidP="00AA7D74">
      <w:pPr>
        <w:ind w:firstLine="720"/>
        <w:rPr>
          <w:sz w:val="20"/>
        </w:rPr>
      </w:pPr>
      <w:r>
        <w:t>Na podstawie kryteriów wskazanych w niniejszym podrozdziale, stwierdzono, że programem profilaktycznym zostaną objęte:</w:t>
      </w:r>
    </w:p>
    <w:p w:rsidR="00AA7D74" w:rsidRDefault="00AA7D74" w:rsidP="00AA7D74">
      <w:pPr>
        <w:pStyle w:val="Akapitzlist"/>
        <w:numPr>
          <w:ilvl w:val="0"/>
          <w:numId w:val="9"/>
        </w:numPr>
      </w:pPr>
      <w:r>
        <w:t>schorzenia narządów miękkich układu trawiennego (żołądek, trzustka i wątroba);</w:t>
      </w:r>
    </w:p>
    <w:p w:rsidR="0045693D" w:rsidRDefault="00AA7D74" w:rsidP="00AA7D74">
      <w:pPr>
        <w:pStyle w:val="Akapitzlist"/>
        <w:numPr>
          <w:ilvl w:val="0"/>
          <w:numId w:val="9"/>
        </w:numPr>
      </w:pPr>
      <w:r>
        <w:t>schorzenia jelit, również w kierunku diagnostyki zmian, które są wymieniane w śród czynników etiopatogenezy CRC.</w:t>
      </w:r>
    </w:p>
    <w:p w:rsidR="00CF4ADA" w:rsidRDefault="00861267" w:rsidP="00CF4ADA">
      <w:pPr>
        <w:pStyle w:val="Nagwek2"/>
      </w:pPr>
      <w:bookmarkStart w:id="24" w:name="_Toc387117350"/>
      <w:bookmarkStart w:id="25" w:name="_Toc389078578"/>
      <w:r>
        <w:t>2.</w:t>
      </w:r>
      <w:r w:rsidR="004A5F71">
        <w:t>2</w:t>
      </w:r>
      <w:r w:rsidR="00CF4ADA">
        <w:t>. Styl życia</w:t>
      </w:r>
      <w:bookmarkEnd w:id="24"/>
      <w:bookmarkEnd w:id="25"/>
    </w:p>
    <w:p w:rsidR="00D41A19" w:rsidRDefault="00D41A19" w:rsidP="0009270D">
      <w:r>
        <w:t xml:space="preserve">W celu zdiagnozowania stylu życia </w:t>
      </w:r>
      <w:r w:rsidR="00F371AC">
        <w:t>dzieci i młodzieży z terenu</w:t>
      </w:r>
      <w:r w:rsidR="0009270D">
        <w:t xml:space="preserve"> p</w:t>
      </w:r>
      <w:r>
        <w:t>owiatu świdwińskiego przeprowadzono</w:t>
      </w:r>
      <w:r w:rsidR="0009270D">
        <w:t xml:space="preserve"> badanie kwestionariuszowe w szkołach podstawowych, gimnazjach i </w:t>
      </w:r>
      <w:proofErr w:type="spellStart"/>
      <w:r w:rsidR="0009270D">
        <w:t>ponadgimnazjalnych</w:t>
      </w:r>
      <w:proofErr w:type="spellEnd"/>
      <w:r w:rsidR="0009270D">
        <w:t xml:space="preserve"> placówkach edukacyjnych.</w:t>
      </w:r>
    </w:p>
    <w:p w:rsidR="009F633E" w:rsidRDefault="009F633E" w:rsidP="00DD55D4">
      <w:pPr>
        <w:ind w:firstLine="720"/>
      </w:pPr>
      <w:r>
        <w:t xml:space="preserve">W badaniu udział wzięły </w:t>
      </w:r>
      <w:r w:rsidR="00DB46D0">
        <w:t>trzy</w:t>
      </w:r>
      <w:r>
        <w:t xml:space="preserve"> przedszkola, obsługujące łącznie ~ </w:t>
      </w:r>
      <w:r w:rsidR="00DB46D0">
        <w:t>220</w:t>
      </w:r>
      <w:r>
        <w:t xml:space="preserve"> dzieci (</w:t>
      </w:r>
      <w:r w:rsidR="00E64FF6">
        <w:t>bieżący</w:t>
      </w:r>
      <w:r>
        <w:t xml:space="preserve"> rok szkolny). Dane dostarczone przez w/w placówki wskazują na występujący już wśród najmłodszych mieszkańców powiatu problem w zakresie odżywiania (wskaźnik BMI). Typowy dla </w:t>
      </w:r>
      <w:r w:rsidR="00DD55D4">
        <w:t xml:space="preserve">tego okresu edukacji jest bardzo wysoki wskaźnik absencji, w tym </w:t>
      </w:r>
      <w:r w:rsidR="00E64FF6">
        <w:t xml:space="preserve">przede wszystkim chorobowej. W badanych placówkach nie zidentyfikowano dzieci chorych na cukrzycę (por. </w:t>
      </w:r>
      <w:r w:rsidR="00DB46D0">
        <w:t>Tabela 13</w:t>
      </w:r>
      <w:r w:rsidR="00E64FF6">
        <w:t xml:space="preserve">). </w:t>
      </w:r>
    </w:p>
    <w:p w:rsidR="002B7093" w:rsidRDefault="002B7093" w:rsidP="002B7093">
      <w:pPr>
        <w:pStyle w:val="Legenda"/>
      </w:pPr>
      <w:bookmarkStart w:id="26" w:name="_Ref387606308"/>
      <w:r>
        <w:lastRenderedPageBreak/>
        <w:t xml:space="preserve">Tabela </w:t>
      </w:r>
      <w:r w:rsidR="00967BA4">
        <w:fldChar w:fldCharType="begin"/>
      </w:r>
      <w:r>
        <w:instrText xml:space="preserve"> SEQ Tabela \* ARABIC </w:instrText>
      </w:r>
      <w:r w:rsidR="00967BA4">
        <w:fldChar w:fldCharType="separate"/>
      </w:r>
      <w:r w:rsidR="006C7416">
        <w:rPr>
          <w:noProof/>
        </w:rPr>
        <w:t>13</w:t>
      </w:r>
      <w:r w:rsidR="00967BA4">
        <w:fldChar w:fldCharType="end"/>
      </w:r>
      <w:bookmarkEnd w:id="26"/>
      <w:r w:rsidR="006543D8">
        <w:t xml:space="preserve"> Podstawowe dane dotyczące stylu życia w przedszkolach</w:t>
      </w:r>
    </w:p>
    <w:tbl>
      <w:tblPr>
        <w:tblW w:w="4896" w:type="pct"/>
        <w:tblBorders>
          <w:top w:val="single" w:sz="12" w:space="0" w:color="auto"/>
          <w:bottom w:val="single" w:sz="12" w:space="0" w:color="auto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/>
      </w:tblPr>
      <w:tblGrid>
        <w:gridCol w:w="4927"/>
        <w:gridCol w:w="1134"/>
        <w:gridCol w:w="1119"/>
        <w:gridCol w:w="1121"/>
        <w:gridCol w:w="1119"/>
      </w:tblGrid>
      <w:tr w:rsidR="006543D8" w:rsidRPr="002B7093" w:rsidTr="00F371AC">
        <w:trPr>
          <w:trHeight w:val="300"/>
        </w:trPr>
        <w:tc>
          <w:tcPr>
            <w:tcW w:w="2615" w:type="pct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093" w:rsidRPr="002B7093" w:rsidRDefault="002B7093" w:rsidP="002B7093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18"/>
              </w:rPr>
            </w:pPr>
            <w:r w:rsidRPr="002B7093">
              <w:rPr>
                <w:rFonts w:eastAsia="Times New Roman" w:cs="Times New Roman"/>
                <w:b/>
                <w:bCs/>
                <w:color w:val="000000"/>
                <w:sz w:val="20"/>
                <w:szCs w:val="18"/>
              </w:rPr>
              <w:t>Wskaźniki</w:t>
            </w:r>
          </w:p>
        </w:tc>
        <w:tc>
          <w:tcPr>
            <w:tcW w:w="602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093" w:rsidRPr="002B7093" w:rsidRDefault="002B7093" w:rsidP="002B7093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18"/>
              </w:rPr>
            </w:pPr>
            <w:r w:rsidRPr="002B7093">
              <w:rPr>
                <w:rFonts w:eastAsia="Times New Roman" w:cs="Times New Roman"/>
                <w:b/>
                <w:bCs/>
                <w:color w:val="000000"/>
                <w:sz w:val="20"/>
                <w:szCs w:val="18"/>
              </w:rPr>
              <w:t>2009/2010</w:t>
            </w:r>
          </w:p>
        </w:tc>
        <w:tc>
          <w:tcPr>
            <w:tcW w:w="594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093" w:rsidRPr="002B7093" w:rsidRDefault="002B7093" w:rsidP="002B7093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18"/>
              </w:rPr>
            </w:pPr>
            <w:r w:rsidRPr="002B7093">
              <w:rPr>
                <w:rFonts w:eastAsia="Times New Roman" w:cs="Times New Roman"/>
                <w:b/>
                <w:bCs/>
                <w:color w:val="000000"/>
                <w:sz w:val="20"/>
                <w:szCs w:val="18"/>
              </w:rPr>
              <w:t>2010/2011</w:t>
            </w:r>
          </w:p>
        </w:tc>
        <w:tc>
          <w:tcPr>
            <w:tcW w:w="595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093" w:rsidRPr="002B7093" w:rsidRDefault="002B7093" w:rsidP="002B7093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18"/>
              </w:rPr>
            </w:pPr>
            <w:r w:rsidRPr="002B7093">
              <w:rPr>
                <w:rFonts w:eastAsia="Times New Roman" w:cs="Times New Roman"/>
                <w:b/>
                <w:bCs/>
                <w:color w:val="000000"/>
                <w:sz w:val="20"/>
                <w:szCs w:val="18"/>
              </w:rPr>
              <w:t>2011/2012</w:t>
            </w:r>
          </w:p>
        </w:tc>
        <w:tc>
          <w:tcPr>
            <w:tcW w:w="594" w:type="pct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093" w:rsidRPr="002B7093" w:rsidRDefault="002B7093" w:rsidP="002B7093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18"/>
              </w:rPr>
            </w:pPr>
            <w:r w:rsidRPr="002B7093">
              <w:rPr>
                <w:rFonts w:eastAsia="Times New Roman" w:cs="Times New Roman"/>
                <w:b/>
                <w:bCs/>
                <w:color w:val="000000"/>
                <w:sz w:val="20"/>
                <w:szCs w:val="18"/>
              </w:rPr>
              <w:t>2012/2013</w:t>
            </w:r>
          </w:p>
        </w:tc>
      </w:tr>
      <w:tr w:rsidR="00F371AC" w:rsidRPr="002B7093" w:rsidTr="00F371AC">
        <w:trPr>
          <w:trHeight w:val="300"/>
        </w:trPr>
        <w:tc>
          <w:tcPr>
            <w:tcW w:w="2615" w:type="pct"/>
            <w:tcBorders>
              <w:top w:val="single" w:sz="4" w:space="0" w:color="auto"/>
              <w:bottom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371AC" w:rsidRPr="002B7093" w:rsidRDefault="00F371AC" w:rsidP="002B7093">
            <w:pPr>
              <w:spacing w:before="40" w:after="4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18"/>
              </w:rPr>
            </w:pPr>
            <w:r>
              <w:rPr>
                <w:rFonts w:eastAsia="Times New Roman" w:cs="Times New Roman"/>
                <w:color w:val="000000"/>
                <w:sz w:val="20"/>
                <w:szCs w:val="18"/>
              </w:rPr>
              <w:t>Liczba dzieci ogółem</w:t>
            </w:r>
          </w:p>
        </w:tc>
        <w:tc>
          <w:tcPr>
            <w:tcW w:w="602" w:type="pct"/>
            <w:tcBorders>
              <w:top w:val="single" w:sz="4" w:space="0" w:color="auto"/>
              <w:bottom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371AC" w:rsidRPr="00F371AC" w:rsidRDefault="00F371AC" w:rsidP="00F371AC">
            <w:pPr>
              <w:spacing w:before="40" w:after="4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18"/>
              </w:rPr>
            </w:pPr>
            <w:r w:rsidRPr="00F371AC">
              <w:rPr>
                <w:rFonts w:eastAsia="Times New Roman" w:cs="Times New Roman"/>
                <w:color w:val="000000"/>
                <w:sz w:val="20"/>
                <w:szCs w:val="18"/>
              </w:rPr>
              <w:t>183</w:t>
            </w:r>
          </w:p>
        </w:tc>
        <w:tc>
          <w:tcPr>
            <w:tcW w:w="594" w:type="pct"/>
            <w:tcBorders>
              <w:top w:val="single" w:sz="4" w:space="0" w:color="auto"/>
              <w:bottom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371AC" w:rsidRPr="00F371AC" w:rsidRDefault="00F371AC" w:rsidP="00F371AC">
            <w:pPr>
              <w:spacing w:before="40" w:after="4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18"/>
              </w:rPr>
            </w:pPr>
            <w:r w:rsidRPr="00F371AC">
              <w:rPr>
                <w:rFonts w:eastAsia="Times New Roman" w:cs="Times New Roman"/>
                <w:color w:val="000000"/>
                <w:sz w:val="20"/>
                <w:szCs w:val="18"/>
              </w:rPr>
              <w:t>152</w:t>
            </w: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371AC" w:rsidRPr="00F371AC" w:rsidRDefault="00DB46D0" w:rsidP="00F371AC">
            <w:pPr>
              <w:spacing w:before="40" w:after="4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18"/>
              </w:rPr>
            </w:pPr>
            <w:r>
              <w:rPr>
                <w:rFonts w:eastAsia="Times New Roman" w:cs="Times New Roman"/>
                <w:color w:val="000000"/>
                <w:sz w:val="20"/>
                <w:szCs w:val="18"/>
              </w:rPr>
              <w:t>216</w:t>
            </w:r>
          </w:p>
        </w:tc>
        <w:tc>
          <w:tcPr>
            <w:tcW w:w="594" w:type="pct"/>
            <w:tcBorders>
              <w:top w:val="single" w:sz="4" w:space="0" w:color="auto"/>
              <w:bottom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371AC" w:rsidRPr="00F371AC" w:rsidRDefault="00DB46D0" w:rsidP="00F371AC">
            <w:pPr>
              <w:spacing w:before="40" w:after="4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18"/>
              </w:rPr>
            </w:pPr>
            <w:r>
              <w:rPr>
                <w:rFonts w:eastAsia="Times New Roman" w:cs="Times New Roman"/>
                <w:color w:val="000000"/>
                <w:sz w:val="20"/>
                <w:szCs w:val="18"/>
              </w:rPr>
              <w:t>219</w:t>
            </w:r>
          </w:p>
        </w:tc>
      </w:tr>
      <w:tr w:rsidR="006543D8" w:rsidRPr="002B7093" w:rsidTr="00F371AC">
        <w:trPr>
          <w:trHeight w:val="300"/>
        </w:trPr>
        <w:tc>
          <w:tcPr>
            <w:tcW w:w="261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B7093" w:rsidRPr="002B7093" w:rsidRDefault="002B7093" w:rsidP="002B7093">
            <w:pPr>
              <w:spacing w:before="40" w:after="4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18"/>
              </w:rPr>
            </w:pPr>
            <w:r w:rsidRPr="002B7093">
              <w:rPr>
                <w:rFonts w:eastAsia="Times New Roman" w:cs="Times New Roman"/>
                <w:color w:val="000000"/>
                <w:sz w:val="20"/>
                <w:szCs w:val="18"/>
              </w:rPr>
              <w:t xml:space="preserve">Liczba </w:t>
            </w:r>
            <w:r>
              <w:rPr>
                <w:rFonts w:eastAsia="Times New Roman" w:cs="Times New Roman"/>
                <w:color w:val="000000"/>
                <w:sz w:val="20"/>
                <w:szCs w:val="18"/>
              </w:rPr>
              <w:t>dzieci</w:t>
            </w:r>
            <w:r w:rsidRPr="002B7093">
              <w:rPr>
                <w:rFonts w:eastAsia="Times New Roman" w:cs="Times New Roman"/>
                <w:color w:val="000000"/>
                <w:sz w:val="20"/>
                <w:szCs w:val="18"/>
              </w:rPr>
              <w:t xml:space="preserve"> z nadwagą</w:t>
            </w:r>
          </w:p>
        </w:tc>
        <w:tc>
          <w:tcPr>
            <w:tcW w:w="602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B7093" w:rsidRPr="002B7093" w:rsidRDefault="002B7093" w:rsidP="00F371AC">
            <w:pPr>
              <w:spacing w:before="40" w:after="4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18"/>
              </w:rPr>
            </w:pPr>
            <w:r w:rsidRPr="002B7093">
              <w:rPr>
                <w:rFonts w:eastAsia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594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B7093" w:rsidRPr="002B7093" w:rsidRDefault="002B7093" w:rsidP="00F371AC">
            <w:pPr>
              <w:spacing w:before="40" w:after="4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18"/>
              </w:rPr>
            </w:pPr>
            <w:r w:rsidRPr="002B7093">
              <w:rPr>
                <w:rFonts w:eastAsia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59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B7093" w:rsidRPr="002B7093" w:rsidRDefault="00DB46D0" w:rsidP="00F371AC">
            <w:pPr>
              <w:spacing w:before="40" w:after="4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18"/>
              </w:rPr>
            </w:pPr>
            <w:r>
              <w:rPr>
                <w:rFonts w:eastAsia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594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B7093" w:rsidRPr="002B7093" w:rsidRDefault="00DB46D0" w:rsidP="00F371AC">
            <w:pPr>
              <w:spacing w:before="40" w:after="4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18"/>
              </w:rPr>
            </w:pPr>
            <w:r>
              <w:rPr>
                <w:rFonts w:eastAsia="Times New Roman" w:cs="Times New Roman"/>
                <w:color w:val="000000"/>
                <w:sz w:val="20"/>
                <w:szCs w:val="18"/>
              </w:rPr>
              <w:t>6</w:t>
            </w:r>
          </w:p>
        </w:tc>
      </w:tr>
      <w:tr w:rsidR="006543D8" w:rsidRPr="002B7093" w:rsidTr="00F371AC">
        <w:trPr>
          <w:trHeight w:val="300"/>
        </w:trPr>
        <w:tc>
          <w:tcPr>
            <w:tcW w:w="2615" w:type="pct"/>
            <w:tcBorders>
              <w:top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B7093" w:rsidRPr="002B7093" w:rsidRDefault="002B7093" w:rsidP="002B7093">
            <w:pPr>
              <w:spacing w:before="40" w:after="4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18"/>
              </w:rPr>
            </w:pPr>
            <w:r w:rsidRPr="002B7093">
              <w:rPr>
                <w:rFonts w:eastAsia="Times New Roman" w:cs="Times New Roman"/>
                <w:color w:val="000000"/>
                <w:sz w:val="20"/>
                <w:szCs w:val="18"/>
              </w:rPr>
              <w:t>Wartość średniego BMI uczniów</w:t>
            </w:r>
          </w:p>
        </w:tc>
        <w:tc>
          <w:tcPr>
            <w:tcW w:w="602" w:type="pct"/>
            <w:tcBorders>
              <w:top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2B7093" w:rsidRPr="002B7093" w:rsidRDefault="002B7093" w:rsidP="002B7093">
            <w:pPr>
              <w:spacing w:before="40" w:after="4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18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18"/>
              </w:rPr>
              <w:t>b.d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18"/>
              </w:rPr>
              <w:t>.</w:t>
            </w:r>
          </w:p>
        </w:tc>
        <w:tc>
          <w:tcPr>
            <w:tcW w:w="594" w:type="pct"/>
            <w:tcBorders>
              <w:top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2B7093" w:rsidRPr="002B7093" w:rsidRDefault="002B7093" w:rsidP="002B7093">
            <w:pPr>
              <w:spacing w:before="40" w:after="4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18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18"/>
              </w:rPr>
              <w:t>b.d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18"/>
              </w:rPr>
              <w:t>.</w:t>
            </w:r>
          </w:p>
        </w:tc>
        <w:tc>
          <w:tcPr>
            <w:tcW w:w="595" w:type="pct"/>
            <w:tcBorders>
              <w:top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B7093" w:rsidRPr="002B7093" w:rsidRDefault="002B7093" w:rsidP="002B7093">
            <w:pPr>
              <w:spacing w:before="40" w:after="4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18"/>
              </w:rPr>
            </w:pPr>
            <w:r w:rsidRPr="002B7093">
              <w:rPr>
                <w:rFonts w:eastAsia="Times New Roman" w:cs="Times New Roman"/>
                <w:color w:val="000000"/>
                <w:sz w:val="20"/>
                <w:szCs w:val="18"/>
              </w:rPr>
              <w:t>29,1</w:t>
            </w:r>
          </w:p>
        </w:tc>
        <w:tc>
          <w:tcPr>
            <w:tcW w:w="594" w:type="pct"/>
            <w:tcBorders>
              <w:top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B7093" w:rsidRPr="002B7093" w:rsidRDefault="002B7093" w:rsidP="002B7093">
            <w:pPr>
              <w:spacing w:before="40" w:after="4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18"/>
              </w:rPr>
            </w:pPr>
            <w:r w:rsidRPr="002B7093">
              <w:rPr>
                <w:rFonts w:eastAsia="Times New Roman" w:cs="Times New Roman"/>
                <w:color w:val="000000"/>
                <w:sz w:val="20"/>
                <w:szCs w:val="18"/>
              </w:rPr>
              <w:t>26,7</w:t>
            </w:r>
          </w:p>
        </w:tc>
      </w:tr>
      <w:tr w:rsidR="006543D8" w:rsidRPr="002B7093" w:rsidTr="006543D8">
        <w:trPr>
          <w:trHeight w:val="300"/>
        </w:trPr>
        <w:tc>
          <w:tcPr>
            <w:tcW w:w="2615" w:type="pct"/>
            <w:shd w:val="clear" w:color="auto" w:fill="auto"/>
            <w:noWrap/>
            <w:vAlign w:val="center"/>
            <w:hideMark/>
          </w:tcPr>
          <w:p w:rsidR="002B7093" w:rsidRPr="002B7093" w:rsidRDefault="002B7093" w:rsidP="002B7093">
            <w:pPr>
              <w:spacing w:before="40" w:after="4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18"/>
              </w:rPr>
            </w:pPr>
            <w:r>
              <w:rPr>
                <w:rFonts w:eastAsia="Times New Roman" w:cs="Times New Roman"/>
                <w:color w:val="000000"/>
                <w:sz w:val="20"/>
                <w:szCs w:val="18"/>
              </w:rPr>
              <w:t>Liczba dzieci</w:t>
            </w:r>
            <w:r w:rsidRPr="002B7093">
              <w:rPr>
                <w:rFonts w:eastAsia="Times New Roman" w:cs="Times New Roman"/>
                <w:color w:val="000000"/>
                <w:sz w:val="20"/>
                <w:szCs w:val="18"/>
              </w:rPr>
              <w:t xml:space="preserve"> z cukrzycą</w:t>
            </w:r>
          </w:p>
        </w:tc>
        <w:tc>
          <w:tcPr>
            <w:tcW w:w="602" w:type="pct"/>
            <w:shd w:val="clear" w:color="auto" w:fill="auto"/>
            <w:noWrap/>
            <w:vAlign w:val="center"/>
            <w:hideMark/>
          </w:tcPr>
          <w:p w:rsidR="002B7093" w:rsidRPr="002B7093" w:rsidRDefault="002B7093" w:rsidP="002B7093">
            <w:pPr>
              <w:spacing w:before="40" w:after="4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18"/>
              </w:rPr>
            </w:pPr>
            <w:r w:rsidRPr="002B7093">
              <w:rPr>
                <w:rFonts w:eastAsia="Times New Roman" w:cs="Times New Roman"/>
                <w:color w:val="000000"/>
                <w:sz w:val="20"/>
                <w:szCs w:val="18"/>
              </w:rPr>
              <w:t>0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2B7093" w:rsidRPr="002B7093" w:rsidRDefault="002B7093" w:rsidP="002B7093">
            <w:pPr>
              <w:spacing w:before="40" w:after="4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18"/>
              </w:rPr>
            </w:pPr>
            <w:r w:rsidRPr="002B7093">
              <w:rPr>
                <w:rFonts w:eastAsia="Times New Roman" w:cs="Times New Roman"/>
                <w:color w:val="000000"/>
                <w:sz w:val="20"/>
                <w:szCs w:val="18"/>
              </w:rPr>
              <w:t>0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2B7093" w:rsidRPr="002B7093" w:rsidRDefault="002B7093" w:rsidP="002B7093">
            <w:pPr>
              <w:spacing w:before="40" w:after="4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18"/>
              </w:rPr>
            </w:pPr>
            <w:r w:rsidRPr="002B7093">
              <w:rPr>
                <w:rFonts w:eastAsia="Times New Roman" w:cs="Times New Roman"/>
                <w:color w:val="000000"/>
                <w:sz w:val="20"/>
                <w:szCs w:val="18"/>
              </w:rPr>
              <w:t>0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2B7093" w:rsidRPr="002B7093" w:rsidRDefault="002B7093" w:rsidP="002B7093">
            <w:pPr>
              <w:spacing w:before="40" w:after="4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18"/>
              </w:rPr>
            </w:pPr>
            <w:r w:rsidRPr="002B7093">
              <w:rPr>
                <w:rFonts w:eastAsia="Times New Roman" w:cs="Times New Roman"/>
                <w:color w:val="000000"/>
                <w:sz w:val="20"/>
                <w:szCs w:val="18"/>
              </w:rPr>
              <w:t>0</w:t>
            </w:r>
          </w:p>
        </w:tc>
      </w:tr>
      <w:tr w:rsidR="006543D8" w:rsidRPr="002B7093" w:rsidTr="006543D8">
        <w:trPr>
          <w:trHeight w:val="300"/>
        </w:trPr>
        <w:tc>
          <w:tcPr>
            <w:tcW w:w="2615" w:type="pct"/>
            <w:shd w:val="clear" w:color="auto" w:fill="auto"/>
            <w:noWrap/>
            <w:vAlign w:val="center"/>
            <w:hideMark/>
          </w:tcPr>
          <w:p w:rsidR="002B7093" w:rsidRPr="002B7093" w:rsidRDefault="002B7093" w:rsidP="002B7093">
            <w:pPr>
              <w:spacing w:before="40" w:after="4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18"/>
              </w:rPr>
            </w:pPr>
            <w:r w:rsidRPr="002B7093">
              <w:rPr>
                <w:rFonts w:eastAsia="Times New Roman" w:cs="Times New Roman"/>
                <w:color w:val="000000"/>
                <w:sz w:val="20"/>
                <w:szCs w:val="18"/>
              </w:rPr>
              <w:t>Wskaźnik absencji chorobowej (liczba opuszczonych dni/liczba dni zajęć szkolnych)</w:t>
            </w:r>
          </w:p>
        </w:tc>
        <w:tc>
          <w:tcPr>
            <w:tcW w:w="602" w:type="pct"/>
            <w:shd w:val="clear" w:color="auto" w:fill="auto"/>
            <w:noWrap/>
            <w:vAlign w:val="center"/>
            <w:hideMark/>
          </w:tcPr>
          <w:p w:rsidR="002B7093" w:rsidRPr="002B7093" w:rsidRDefault="002B7093" w:rsidP="002B7093">
            <w:pPr>
              <w:spacing w:before="40" w:after="4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18"/>
              </w:rPr>
            </w:pPr>
            <w:r w:rsidRPr="002B7093">
              <w:rPr>
                <w:rFonts w:eastAsia="Times New Roman" w:cs="Times New Roman"/>
                <w:color w:val="000000"/>
                <w:sz w:val="20"/>
                <w:szCs w:val="18"/>
              </w:rPr>
              <w:t>0,80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2B7093" w:rsidRPr="002B7093" w:rsidRDefault="002B7093" w:rsidP="002B7093">
            <w:pPr>
              <w:spacing w:before="40" w:after="4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18"/>
              </w:rPr>
            </w:pPr>
            <w:r w:rsidRPr="002B7093">
              <w:rPr>
                <w:rFonts w:eastAsia="Times New Roman" w:cs="Times New Roman"/>
                <w:color w:val="000000"/>
                <w:sz w:val="20"/>
                <w:szCs w:val="18"/>
              </w:rPr>
              <w:t>0,81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2B7093" w:rsidRPr="002B7093" w:rsidRDefault="002B7093" w:rsidP="002B7093">
            <w:pPr>
              <w:spacing w:before="40" w:after="4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18"/>
              </w:rPr>
            </w:pPr>
            <w:r w:rsidRPr="002B7093">
              <w:rPr>
                <w:rFonts w:eastAsia="Times New Roman" w:cs="Times New Roman"/>
                <w:color w:val="000000"/>
                <w:sz w:val="20"/>
                <w:szCs w:val="18"/>
              </w:rPr>
              <w:t>0,72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2B7093" w:rsidRPr="002B7093" w:rsidRDefault="002B7093" w:rsidP="002B7093">
            <w:pPr>
              <w:spacing w:before="40" w:after="4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18"/>
              </w:rPr>
            </w:pPr>
            <w:r w:rsidRPr="002B7093">
              <w:rPr>
                <w:rFonts w:eastAsia="Times New Roman" w:cs="Times New Roman"/>
                <w:color w:val="000000"/>
                <w:sz w:val="20"/>
                <w:szCs w:val="18"/>
              </w:rPr>
              <w:t>0,73</w:t>
            </w:r>
          </w:p>
        </w:tc>
      </w:tr>
    </w:tbl>
    <w:p w:rsidR="002B7093" w:rsidRDefault="006543D8" w:rsidP="006543D8">
      <w:pPr>
        <w:spacing w:after="240" w:line="240" w:lineRule="auto"/>
        <w:jc w:val="left"/>
        <w:rPr>
          <w:sz w:val="20"/>
        </w:rPr>
      </w:pPr>
      <w:r w:rsidRPr="006543D8">
        <w:rPr>
          <w:sz w:val="20"/>
        </w:rPr>
        <w:t xml:space="preserve">Źródło: </w:t>
      </w:r>
      <w:r w:rsidRPr="006543D8">
        <w:rPr>
          <w:i/>
          <w:sz w:val="20"/>
        </w:rPr>
        <w:t>Badanie kwestionariuszowe w przedszkolach z terenu powiatu świdwińskiego</w:t>
      </w:r>
      <w:r w:rsidRPr="006543D8">
        <w:rPr>
          <w:sz w:val="20"/>
        </w:rPr>
        <w:t>.</w:t>
      </w:r>
    </w:p>
    <w:p w:rsidR="00E64FF6" w:rsidRPr="00216E0F" w:rsidRDefault="00E64FF6" w:rsidP="00216E0F">
      <w:pPr>
        <w:ind w:firstLine="720"/>
      </w:pPr>
      <w:r>
        <w:t>W badaniu udział wzięło 1</w:t>
      </w:r>
      <w:r w:rsidR="004F6030">
        <w:t>2</w:t>
      </w:r>
      <w:r>
        <w:t xml:space="preserve"> szkół podstawowych i gimnazjów, obsługujące łącznie ~ 2 </w:t>
      </w:r>
      <w:r w:rsidR="004F6030">
        <w:t>920</w:t>
      </w:r>
      <w:r w:rsidR="001D5158">
        <w:t>uczn</w:t>
      </w:r>
      <w:r>
        <w:t>i</w:t>
      </w:r>
      <w:r w:rsidR="001D5158">
        <w:t>ów</w:t>
      </w:r>
      <w:r>
        <w:t xml:space="preserve"> (bieżący rok szkolny). W placówkach, które dysponują statystykami wskaźnika BMI, jego wartość przyjmuje wartości prawidłowe</w:t>
      </w:r>
      <w:r w:rsidR="00216E0F">
        <w:t>, zwracaj się jednak uwagę, iż jest to górny przedział zakresu. Badanie wykazało, że ponad 1</w:t>
      </w:r>
      <w:r w:rsidR="004F6030">
        <w:t>0</w:t>
      </w:r>
      <w:r w:rsidR="00216E0F">
        <w:t xml:space="preserve">% uczniów w tej grupie wiekowej jest dotkniętych nadwagą. Współczynnik ten wynosił w roku szkolnym 2012/2013 </w:t>
      </w:r>
      <w:r w:rsidR="004F6030">
        <w:t>14,8</w:t>
      </w:r>
      <w:r w:rsidR="00216E0F">
        <w:t xml:space="preserve">% i był wyższy dla </w:t>
      </w:r>
      <w:r w:rsidR="004F6030">
        <w:t>3</w:t>
      </w:r>
      <w:r w:rsidR="00216E0F">
        <w:t>,5 punktu procentowego w stosunku do roku 2009/2010. Około 1% uczniów przedstawia roczne zwolnienia z zajęć wychowania fizycznego, a ab</w:t>
      </w:r>
      <w:r w:rsidR="004F6030">
        <w:t>sencja chorobowa wynosi około 14</w:t>
      </w:r>
      <w:r w:rsidR="00216E0F">
        <w:t>%. Uwagę należy zwrócić także na rosnący wskaźnik korzystania z pomocowych zasiłków szkolnych.</w:t>
      </w:r>
    </w:p>
    <w:p w:rsidR="00876EAD" w:rsidRPr="006543D8" w:rsidRDefault="00876EAD" w:rsidP="00876EAD">
      <w:pPr>
        <w:pStyle w:val="Legenda"/>
      </w:pPr>
      <w:r>
        <w:t xml:space="preserve">Tabela </w:t>
      </w:r>
      <w:r w:rsidR="00967BA4">
        <w:fldChar w:fldCharType="begin"/>
      </w:r>
      <w:r>
        <w:instrText xml:space="preserve"> SEQ Tabela \* ARABIC </w:instrText>
      </w:r>
      <w:r w:rsidR="00967BA4">
        <w:fldChar w:fldCharType="separate"/>
      </w:r>
      <w:r w:rsidR="006C7416">
        <w:rPr>
          <w:noProof/>
        </w:rPr>
        <w:t>14</w:t>
      </w:r>
      <w:r w:rsidR="00967BA4">
        <w:fldChar w:fldCharType="end"/>
      </w:r>
      <w:r>
        <w:t>Podstawowe dane dotyczące stylu życia w szkołach podstawowych i gimnazjach</w:t>
      </w:r>
    </w:p>
    <w:tbl>
      <w:tblPr>
        <w:tblW w:w="9247" w:type="dxa"/>
        <w:tblInd w:w="93" w:type="dxa"/>
        <w:tblBorders>
          <w:top w:val="single" w:sz="12" w:space="0" w:color="auto"/>
          <w:bottom w:val="single" w:sz="12" w:space="0" w:color="auto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835"/>
        <w:gridCol w:w="1134"/>
        <w:gridCol w:w="1134"/>
        <w:gridCol w:w="1072"/>
        <w:gridCol w:w="1072"/>
      </w:tblGrid>
      <w:tr w:rsidR="00876EAD" w:rsidRPr="00876EAD" w:rsidTr="00876EAD">
        <w:trPr>
          <w:trHeight w:val="240"/>
        </w:trPr>
        <w:tc>
          <w:tcPr>
            <w:tcW w:w="4835" w:type="dxa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6EAD" w:rsidRPr="00876EAD" w:rsidRDefault="00876EAD" w:rsidP="00876EAD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876EAD">
              <w:rPr>
                <w:rFonts w:eastAsia="Times New Roman" w:cs="Times New Roman"/>
                <w:b/>
                <w:bCs/>
                <w:color w:val="000000"/>
                <w:sz w:val="20"/>
              </w:rPr>
              <w:t>Wskaźniki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6EAD" w:rsidRPr="00876EAD" w:rsidRDefault="00876EAD" w:rsidP="00876EAD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876EAD">
              <w:rPr>
                <w:rFonts w:eastAsia="Times New Roman" w:cs="Times New Roman"/>
                <w:b/>
                <w:bCs/>
                <w:color w:val="000000"/>
                <w:sz w:val="20"/>
              </w:rPr>
              <w:t>2009/2010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6EAD" w:rsidRPr="00876EAD" w:rsidRDefault="00876EAD" w:rsidP="00876EAD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876EAD">
              <w:rPr>
                <w:rFonts w:eastAsia="Times New Roman" w:cs="Times New Roman"/>
                <w:b/>
                <w:bCs/>
                <w:color w:val="000000"/>
                <w:sz w:val="20"/>
              </w:rPr>
              <w:t>2010/2011</w:t>
            </w:r>
          </w:p>
        </w:tc>
        <w:tc>
          <w:tcPr>
            <w:tcW w:w="107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6EAD" w:rsidRPr="00876EAD" w:rsidRDefault="00876EAD" w:rsidP="00876EAD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876EAD">
              <w:rPr>
                <w:rFonts w:eastAsia="Times New Roman" w:cs="Times New Roman"/>
                <w:b/>
                <w:bCs/>
                <w:color w:val="000000"/>
                <w:sz w:val="20"/>
              </w:rPr>
              <w:t>2011/2012</w:t>
            </w:r>
          </w:p>
        </w:tc>
        <w:tc>
          <w:tcPr>
            <w:tcW w:w="1072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EAD" w:rsidRPr="00876EAD" w:rsidRDefault="00876EAD" w:rsidP="00876EAD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876EAD">
              <w:rPr>
                <w:rFonts w:eastAsia="Times New Roman" w:cs="Times New Roman"/>
                <w:b/>
                <w:bCs/>
                <w:color w:val="000000"/>
                <w:sz w:val="20"/>
              </w:rPr>
              <w:t>2012/2013</w:t>
            </w:r>
          </w:p>
        </w:tc>
      </w:tr>
      <w:tr w:rsidR="004F6030" w:rsidRPr="00876EAD" w:rsidTr="00AB2216">
        <w:trPr>
          <w:trHeight w:val="240"/>
        </w:trPr>
        <w:tc>
          <w:tcPr>
            <w:tcW w:w="4835" w:type="dxa"/>
            <w:shd w:val="clear" w:color="auto" w:fill="auto"/>
            <w:noWrap/>
            <w:vAlign w:val="center"/>
          </w:tcPr>
          <w:p w:rsidR="004F6030" w:rsidRPr="00876EAD" w:rsidRDefault="004F6030" w:rsidP="00876EAD">
            <w:pPr>
              <w:spacing w:before="40" w:after="40" w:line="240" w:lineRule="auto"/>
              <w:jc w:val="left"/>
              <w:rPr>
                <w:rFonts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18"/>
              </w:rPr>
              <w:t>Liczba dzieci ogółem</w:t>
            </w:r>
          </w:p>
        </w:tc>
        <w:tc>
          <w:tcPr>
            <w:tcW w:w="1134" w:type="dxa"/>
            <w:shd w:val="clear" w:color="auto" w:fill="auto"/>
            <w:noWrap/>
          </w:tcPr>
          <w:p w:rsidR="004F6030" w:rsidRPr="004F6030" w:rsidRDefault="004F6030" w:rsidP="004F6030">
            <w:pPr>
              <w:spacing w:before="40" w:after="4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4F6030">
              <w:rPr>
                <w:rFonts w:eastAsia="Times New Roman" w:cs="Times New Roman"/>
                <w:color w:val="000000"/>
                <w:sz w:val="20"/>
              </w:rPr>
              <w:t>3243</w:t>
            </w:r>
          </w:p>
        </w:tc>
        <w:tc>
          <w:tcPr>
            <w:tcW w:w="1134" w:type="dxa"/>
            <w:shd w:val="clear" w:color="auto" w:fill="auto"/>
            <w:noWrap/>
          </w:tcPr>
          <w:p w:rsidR="004F6030" w:rsidRPr="004F6030" w:rsidRDefault="004F6030" w:rsidP="004F6030">
            <w:pPr>
              <w:spacing w:before="40" w:after="4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4F6030">
              <w:rPr>
                <w:rFonts w:eastAsia="Times New Roman" w:cs="Times New Roman"/>
                <w:color w:val="000000"/>
                <w:sz w:val="20"/>
              </w:rPr>
              <w:t>3003</w:t>
            </w:r>
          </w:p>
        </w:tc>
        <w:tc>
          <w:tcPr>
            <w:tcW w:w="1072" w:type="dxa"/>
            <w:shd w:val="clear" w:color="auto" w:fill="auto"/>
            <w:noWrap/>
          </w:tcPr>
          <w:p w:rsidR="004F6030" w:rsidRPr="004F6030" w:rsidRDefault="004F6030" w:rsidP="004F6030">
            <w:pPr>
              <w:spacing w:before="40" w:after="4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4F6030">
              <w:rPr>
                <w:rFonts w:eastAsia="Times New Roman" w:cs="Times New Roman"/>
                <w:color w:val="000000"/>
                <w:sz w:val="20"/>
              </w:rPr>
              <w:t>3005</w:t>
            </w:r>
          </w:p>
        </w:tc>
        <w:tc>
          <w:tcPr>
            <w:tcW w:w="1072" w:type="dxa"/>
            <w:shd w:val="clear" w:color="auto" w:fill="auto"/>
            <w:noWrap/>
          </w:tcPr>
          <w:p w:rsidR="004F6030" w:rsidRPr="004F6030" w:rsidRDefault="004F6030" w:rsidP="004F6030">
            <w:pPr>
              <w:spacing w:before="40" w:after="4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4F6030">
              <w:rPr>
                <w:rFonts w:eastAsia="Times New Roman" w:cs="Times New Roman"/>
                <w:color w:val="000000"/>
                <w:sz w:val="20"/>
              </w:rPr>
              <w:t>2916</w:t>
            </w:r>
          </w:p>
        </w:tc>
      </w:tr>
      <w:tr w:rsidR="004F6030" w:rsidRPr="00876EAD" w:rsidTr="009A0639">
        <w:trPr>
          <w:trHeight w:val="240"/>
        </w:trPr>
        <w:tc>
          <w:tcPr>
            <w:tcW w:w="4835" w:type="dxa"/>
            <w:shd w:val="clear" w:color="auto" w:fill="auto"/>
            <w:noWrap/>
            <w:vAlign w:val="center"/>
            <w:hideMark/>
          </w:tcPr>
          <w:p w:rsidR="004F6030" w:rsidRPr="00876EAD" w:rsidRDefault="004F6030" w:rsidP="00876EAD">
            <w:pPr>
              <w:spacing w:before="40" w:after="40" w:line="240" w:lineRule="auto"/>
              <w:jc w:val="left"/>
              <w:rPr>
                <w:rFonts w:eastAsia="Times New Roman" w:cs="Times New Roman"/>
                <w:color w:val="000000"/>
                <w:sz w:val="20"/>
              </w:rPr>
            </w:pPr>
            <w:r w:rsidRPr="00876EAD">
              <w:rPr>
                <w:rFonts w:eastAsia="Times New Roman" w:cs="Times New Roman"/>
                <w:color w:val="000000"/>
                <w:sz w:val="20"/>
              </w:rPr>
              <w:t>Liczba uczniów z nadwagą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F6030" w:rsidRPr="004F6030" w:rsidRDefault="004F6030" w:rsidP="004F6030">
            <w:pPr>
              <w:spacing w:before="40" w:after="4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4F6030">
              <w:rPr>
                <w:rFonts w:eastAsia="Times New Roman" w:cs="Times New Roman"/>
                <w:color w:val="000000"/>
                <w:sz w:val="20"/>
              </w:rPr>
              <w:t>370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F6030" w:rsidRPr="004F6030" w:rsidRDefault="004F6030" w:rsidP="004F6030">
            <w:pPr>
              <w:spacing w:before="40" w:after="4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4F6030">
              <w:rPr>
                <w:rFonts w:eastAsia="Times New Roman" w:cs="Times New Roman"/>
                <w:color w:val="000000"/>
                <w:sz w:val="20"/>
              </w:rPr>
              <w:t>422</w:t>
            </w:r>
          </w:p>
        </w:tc>
        <w:tc>
          <w:tcPr>
            <w:tcW w:w="1072" w:type="dxa"/>
            <w:shd w:val="clear" w:color="auto" w:fill="auto"/>
            <w:noWrap/>
            <w:hideMark/>
          </w:tcPr>
          <w:p w:rsidR="004F6030" w:rsidRPr="004F6030" w:rsidRDefault="004F6030" w:rsidP="004F6030">
            <w:pPr>
              <w:spacing w:before="40" w:after="4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4F6030">
              <w:rPr>
                <w:rFonts w:eastAsia="Times New Roman" w:cs="Times New Roman"/>
                <w:color w:val="000000"/>
                <w:sz w:val="20"/>
              </w:rPr>
              <w:t>423</w:t>
            </w:r>
          </w:p>
        </w:tc>
        <w:tc>
          <w:tcPr>
            <w:tcW w:w="1072" w:type="dxa"/>
            <w:shd w:val="clear" w:color="auto" w:fill="auto"/>
            <w:noWrap/>
            <w:hideMark/>
          </w:tcPr>
          <w:p w:rsidR="004F6030" w:rsidRPr="004F6030" w:rsidRDefault="004F6030" w:rsidP="004F6030">
            <w:pPr>
              <w:spacing w:before="40" w:after="4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4F6030">
              <w:rPr>
                <w:rFonts w:eastAsia="Times New Roman" w:cs="Times New Roman"/>
                <w:color w:val="000000"/>
                <w:sz w:val="20"/>
              </w:rPr>
              <w:t>433</w:t>
            </w:r>
          </w:p>
        </w:tc>
      </w:tr>
      <w:tr w:rsidR="00876EAD" w:rsidRPr="00876EAD" w:rsidTr="00876EAD">
        <w:trPr>
          <w:trHeight w:val="240"/>
        </w:trPr>
        <w:tc>
          <w:tcPr>
            <w:tcW w:w="4835" w:type="dxa"/>
            <w:shd w:val="clear" w:color="auto" w:fill="auto"/>
            <w:noWrap/>
            <w:vAlign w:val="center"/>
            <w:hideMark/>
          </w:tcPr>
          <w:p w:rsidR="00876EAD" w:rsidRPr="00876EAD" w:rsidRDefault="00876EAD" w:rsidP="00876EAD">
            <w:pPr>
              <w:spacing w:before="40" w:after="40" w:line="240" w:lineRule="auto"/>
              <w:jc w:val="left"/>
              <w:rPr>
                <w:rFonts w:eastAsia="Times New Roman" w:cs="Times New Roman"/>
                <w:color w:val="000000"/>
                <w:sz w:val="20"/>
              </w:rPr>
            </w:pPr>
            <w:r w:rsidRPr="00876EAD">
              <w:rPr>
                <w:rFonts w:eastAsia="Times New Roman" w:cs="Times New Roman"/>
                <w:color w:val="000000"/>
                <w:sz w:val="20"/>
              </w:rPr>
              <w:t>Wartość średniego BMI uczniów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76EAD" w:rsidRPr="00876EAD" w:rsidRDefault="00876EAD" w:rsidP="00876EAD">
            <w:pPr>
              <w:spacing w:before="40" w:after="4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876EAD">
              <w:rPr>
                <w:rFonts w:eastAsia="Times New Roman" w:cs="Times New Roman"/>
                <w:color w:val="000000"/>
                <w:sz w:val="20"/>
              </w:rPr>
              <w:t>23,62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76EAD" w:rsidRPr="00876EAD" w:rsidRDefault="00876EAD" w:rsidP="00876EAD">
            <w:pPr>
              <w:spacing w:before="40" w:after="4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876EAD">
              <w:rPr>
                <w:rFonts w:eastAsia="Times New Roman" w:cs="Times New Roman"/>
                <w:color w:val="000000"/>
                <w:sz w:val="20"/>
              </w:rPr>
              <w:t>23,19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876EAD" w:rsidRPr="00876EAD" w:rsidRDefault="00876EAD" w:rsidP="00876EAD">
            <w:pPr>
              <w:spacing w:before="40" w:after="4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876EAD">
              <w:rPr>
                <w:rFonts w:eastAsia="Times New Roman" w:cs="Times New Roman"/>
                <w:color w:val="000000"/>
                <w:sz w:val="20"/>
              </w:rPr>
              <w:t>22,95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876EAD" w:rsidRPr="00876EAD" w:rsidRDefault="00876EAD" w:rsidP="00876EAD">
            <w:pPr>
              <w:spacing w:before="40" w:after="4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876EAD">
              <w:rPr>
                <w:rFonts w:eastAsia="Times New Roman" w:cs="Times New Roman"/>
                <w:color w:val="000000"/>
                <w:sz w:val="20"/>
              </w:rPr>
              <w:t>23,22</w:t>
            </w:r>
          </w:p>
        </w:tc>
      </w:tr>
      <w:tr w:rsidR="004F6030" w:rsidRPr="00876EAD" w:rsidTr="0058179B">
        <w:trPr>
          <w:trHeight w:val="240"/>
        </w:trPr>
        <w:tc>
          <w:tcPr>
            <w:tcW w:w="4835" w:type="dxa"/>
            <w:shd w:val="clear" w:color="auto" w:fill="auto"/>
            <w:noWrap/>
            <w:vAlign w:val="center"/>
            <w:hideMark/>
          </w:tcPr>
          <w:p w:rsidR="004F6030" w:rsidRPr="00876EAD" w:rsidRDefault="004F6030" w:rsidP="00876EAD">
            <w:pPr>
              <w:spacing w:before="40" w:after="40" w:line="240" w:lineRule="auto"/>
              <w:jc w:val="left"/>
              <w:rPr>
                <w:rFonts w:eastAsia="Times New Roman" w:cs="Times New Roman"/>
                <w:color w:val="000000"/>
                <w:sz w:val="20"/>
              </w:rPr>
            </w:pPr>
            <w:r w:rsidRPr="00876EAD">
              <w:rPr>
                <w:rFonts w:eastAsia="Times New Roman" w:cs="Times New Roman"/>
                <w:color w:val="000000"/>
                <w:sz w:val="20"/>
              </w:rPr>
              <w:t>Liczba uczniów z cukrzycą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F6030" w:rsidRPr="004F6030" w:rsidRDefault="004F6030" w:rsidP="004F6030">
            <w:pPr>
              <w:spacing w:before="40" w:after="4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4F6030">
              <w:rPr>
                <w:rFonts w:eastAsia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F6030" w:rsidRPr="004F6030" w:rsidRDefault="004F6030" w:rsidP="004F6030">
            <w:pPr>
              <w:spacing w:before="40" w:after="4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4F6030">
              <w:rPr>
                <w:rFonts w:eastAsia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1072" w:type="dxa"/>
            <w:shd w:val="clear" w:color="auto" w:fill="auto"/>
            <w:noWrap/>
            <w:hideMark/>
          </w:tcPr>
          <w:p w:rsidR="004F6030" w:rsidRPr="004F6030" w:rsidRDefault="004F6030" w:rsidP="004F6030">
            <w:pPr>
              <w:spacing w:before="40" w:after="4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4F6030">
              <w:rPr>
                <w:rFonts w:eastAsia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1072" w:type="dxa"/>
            <w:shd w:val="clear" w:color="auto" w:fill="auto"/>
            <w:noWrap/>
            <w:hideMark/>
          </w:tcPr>
          <w:p w:rsidR="004F6030" w:rsidRPr="004F6030" w:rsidRDefault="004F6030" w:rsidP="004F6030">
            <w:pPr>
              <w:spacing w:before="40" w:after="4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4F6030">
              <w:rPr>
                <w:rFonts w:eastAsia="Times New Roman" w:cs="Times New Roman"/>
                <w:color w:val="000000"/>
                <w:sz w:val="20"/>
              </w:rPr>
              <w:t>5</w:t>
            </w:r>
          </w:p>
        </w:tc>
      </w:tr>
      <w:tr w:rsidR="004F6030" w:rsidRPr="00876EAD" w:rsidTr="00CB2DA7">
        <w:trPr>
          <w:trHeight w:val="240"/>
        </w:trPr>
        <w:tc>
          <w:tcPr>
            <w:tcW w:w="4835" w:type="dxa"/>
            <w:shd w:val="clear" w:color="auto" w:fill="auto"/>
            <w:noWrap/>
            <w:vAlign w:val="center"/>
            <w:hideMark/>
          </w:tcPr>
          <w:p w:rsidR="004F6030" w:rsidRPr="00876EAD" w:rsidRDefault="004F6030" w:rsidP="00876EAD">
            <w:pPr>
              <w:spacing w:before="40" w:after="40" w:line="240" w:lineRule="auto"/>
              <w:jc w:val="left"/>
              <w:rPr>
                <w:rFonts w:eastAsia="Times New Roman" w:cs="Times New Roman"/>
                <w:color w:val="000000"/>
                <w:sz w:val="20"/>
              </w:rPr>
            </w:pPr>
            <w:r w:rsidRPr="00876EAD">
              <w:rPr>
                <w:rFonts w:eastAsia="Times New Roman" w:cs="Times New Roman"/>
                <w:color w:val="000000"/>
                <w:sz w:val="20"/>
              </w:rPr>
              <w:t>Wskaźnik absencji chorobowej (liczba opuszczonych dni/liczba dni zajęć szkolnych)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F6030" w:rsidRPr="004F6030" w:rsidRDefault="004F6030" w:rsidP="004F6030">
            <w:pPr>
              <w:spacing w:before="40" w:after="4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4F6030">
              <w:rPr>
                <w:rFonts w:eastAsia="Times New Roman" w:cs="Times New Roman"/>
                <w:color w:val="000000"/>
                <w:sz w:val="20"/>
              </w:rPr>
              <w:t>0,13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F6030" w:rsidRPr="004F6030" w:rsidRDefault="004F6030" w:rsidP="004F6030">
            <w:pPr>
              <w:spacing w:before="40" w:after="4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4F6030">
              <w:rPr>
                <w:rFonts w:eastAsia="Times New Roman" w:cs="Times New Roman"/>
                <w:color w:val="000000"/>
                <w:sz w:val="20"/>
              </w:rPr>
              <w:t>0,15</w:t>
            </w:r>
          </w:p>
        </w:tc>
        <w:tc>
          <w:tcPr>
            <w:tcW w:w="1072" w:type="dxa"/>
            <w:shd w:val="clear" w:color="auto" w:fill="auto"/>
            <w:noWrap/>
            <w:hideMark/>
          </w:tcPr>
          <w:p w:rsidR="004F6030" w:rsidRPr="004F6030" w:rsidRDefault="004F6030" w:rsidP="004F6030">
            <w:pPr>
              <w:spacing w:before="40" w:after="4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4F6030">
              <w:rPr>
                <w:rFonts w:eastAsia="Times New Roman" w:cs="Times New Roman"/>
                <w:color w:val="000000"/>
                <w:sz w:val="20"/>
              </w:rPr>
              <w:t>0,15</w:t>
            </w:r>
          </w:p>
        </w:tc>
        <w:tc>
          <w:tcPr>
            <w:tcW w:w="1072" w:type="dxa"/>
            <w:shd w:val="clear" w:color="auto" w:fill="auto"/>
            <w:noWrap/>
            <w:hideMark/>
          </w:tcPr>
          <w:p w:rsidR="004F6030" w:rsidRPr="004F6030" w:rsidRDefault="004F6030" w:rsidP="004F6030">
            <w:pPr>
              <w:spacing w:before="40" w:after="4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4F6030">
              <w:rPr>
                <w:rFonts w:eastAsia="Times New Roman" w:cs="Times New Roman"/>
                <w:color w:val="000000"/>
                <w:sz w:val="20"/>
              </w:rPr>
              <w:t>0,14</w:t>
            </w:r>
          </w:p>
        </w:tc>
      </w:tr>
      <w:tr w:rsidR="004F6030" w:rsidRPr="00876EAD" w:rsidTr="00C53EFD">
        <w:trPr>
          <w:trHeight w:val="240"/>
        </w:trPr>
        <w:tc>
          <w:tcPr>
            <w:tcW w:w="4835" w:type="dxa"/>
            <w:shd w:val="clear" w:color="auto" w:fill="auto"/>
            <w:noWrap/>
            <w:vAlign w:val="center"/>
            <w:hideMark/>
          </w:tcPr>
          <w:p w:rsidR="004F6030" w:rsidRPr="00876EAD" w:rsidRDefault="004F6030" w:rsidP="00876EAD">
            <w:pPr>
              <w:spacing w:before="40" w:after="40" w:line="240" w:lineRule="auto"/>
              <w:jc w:val="left"/>
              <w:rPr>
                <w:rFonts w:eastAsia="Times New Roman" w:cs="Times New Roman"/>
                <w:color w:val="000000"/>
                <w:sz w:val="20"/>
              </w:rPr>
            </w:pPr>
            <w:r w:rsidRPr="00876EAD">
              <w:rPr>
                <w:rFonts w:eastAsia="Times New Roman" w:cs="Times New Roman"/>
                <w:color w:val="000000"/>
                <w:sz w:val="20"/>
              </w:rPr>
              <w:t>Liczba uczniów przebywających na rocznych zwolnieniach z zajęć WF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F6030" w:rsidRPr="004F6030" w:rsidRDefault="004F6030" w:rsidP="004F6030">
            <w:pPr>
              <w:spacing w:before="40" w:after="4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4F6030">
              <w:rPr>
                <w:rFonts w:eastAsia="Times New Roman" w:cs="Times New Roman"/>
                <w:color w:val="000000"/>
                <w:sz w:val="20"/>
              </w:rPr>
              <w:t>39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F6030" w:rsidRPr="004F6030" w:rsidRDefault="004F6030" w:rsidP="004F6030">
            <w:pPr>
              <w:spacing w:before="40" w:after="4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4F6030">
              <w:rPr>
                <w:rFonts w:eastAsia="Times New Roman" w:cs="Times New Roman"/>
                <w:color w:val="000000"/>
                <w:sz w:val="20"/>
              </w:rPr>
              <w:t>45</w:t>
            </w:r>
          </w:p>
        </w:tc>
        <w:tc>
          <w:tcPr>
            <w:tcW w:w="1072" w:type="dxa"/>
            <w:shd w:val="clear" w:color="auto" w:fill="auto"/>
            <w:noWrap/>
            <w:hideMark/>
          </w:tcPr>
          <w:p w:rsidR="004F6030" w:rsidRPr="004F6030" w:rsidRDefault="004F6030" w:rsidP="004F6030">
            <w:pPr>
              <w:spacing w:before="40" w:after="4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4F6030">
              <w:rPr>
                <w:rFonts w:eastAsia="Times New Roman" w:cs="Times New Roman"/>
                <w:color w:val="000000"/>
                <w:sz w:val="20"/>
              </w:rPr>
              <w:t>48</w:t>
            </w:r>
          </w:p>
        </w:tc>
        <w:tc>
          <w:tcPr>
            <w:tcW w:w="1072" w:type="dxa"/>
            <w:shd w:val="clear" w:color="auto" w:fill="auto"/>
            <w:noWrap/>
            <w:hideMark/>
          </w:tcPr>
          <w:p w:rsidR="004F6030" w:rsidRPr="004F6030" w:rsidRDefault="004F6030" w:rsidP="004F6030">
            <w:pPr>
              <w:spacing w:before="40" w:after="4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4F6030">
              <w:rPr>
                <w:rFonts w:eastAsia="Times New Roman" w:cs="Times New Roman"/>
                <w:color w:val="000000"/>
                <w:sz w:val="20"/>
              </w:rPr>
              <w:t>29</w:t>
            </w:r>
          </w:p>
        </w:tc>
      </w:tr>
      <w:tr w:rsidR="00876EAD" w:rsidRPr="00876EAD" w:rsidTr="00876EAD">
        <w:trPr>
          <w:trHeight w:val="240"/>
        </w:trPr>
        <w:tc>
          <w:tcPr>
            <w:tcW w:w="4835" w:type="dxa"/>
            <w:shd w:val="clear" w:color="auto" w:fill="auto"/>
            <w:noWrap/>
            <w:vAlign w:val="center"/>
            <w:hideMark/>
          </w:tcPr>
          <w:p w:rsidR="00876EAD" w:rsidRPr="00876EAD" w:rsidRDefault="00876EAD" w:rsidP="00876EAD">
            <w:pPr>
              <w:spacing w:before="40" w:after="40" w:line="240" w:lineRule="auto"/>
              <w:jc w:val="left"/>
              <w:rPr>
                <w:rFonts w:eastAsia="Times New Roman" w:cs="Times New Roman"/>
                <w:color w:val="000000"/>
                <w:sz w:val="20"/>
              </w:rPr>
            </w:pPr>
            <w:r w:rsidRPr="00876EAD">
              <w:rPr>
                <w:rFonts w:eastAsia="Times New Roman" w:cs="Times New Roman"/>
                <w:color w:val="000000"/>
                <w:sz w:val="20"/>
              </w:rPr>
              <w:t>Liczba uczniów korzystających z pomocowych zasiłków szkolnych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76EAD" w:rsidRPr="00876EAD" w:rsidRDefault="00876EAD" w:rsidP="00876EAD">
            <w:pPr>
              <w:spacing w:before="40" w:after="4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876EAD">
              <w:rPr>
                <w:rFonts w:eastAsia="Times New Roman" w:cs="Times New Roman"/>
                <w:color w:val="000000"/>
                <w:sz w:val="20"/>
              </w:rPr>
              <w:t>252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76EAD" w:rsidRPr="00876EAD" w:rsidRDefault="00876EAD" w:rsidP="00876EAD">
            <w:pPr>
              <w:spacing w:before="40" w:after="4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876EAD">
              <w:rPr>
                <w:rFonts w:eastAsia="Times New Roman" w:cs="Times New Roman"/>
                <w:color w:val="000000"/>
                <w:sz w:val="20"/>
              </w:rPr>
              <w:t>214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876EAD" w:rsidRPr="00876EAD" w:rsidRDefault="00876EAD" w:rsidP="00876EAD">
            <w:pPr>
              <w:spacing w:before="40" w:after="4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876EAD">
              <w:rPr>
                <w:rFonts w:eastAsia="Times New Roman" w:cs="Times New Roman"/>
                <w:color w:val="000000"/>
                <w:sz w:val="20"/>
              </w:rPr>
              <w:t>291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876EAD" w:rsidRPr="00876EAD" w:rsidRDefault="00876EAD" w:rsidP="00876EAD">
            <w:pPr>
              <w:spacing w:before="40" w:after="4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876EAD">
              <w:rPr>
                <w:rFonts w:eastAsia="Times New Roman" w:cs="Times New Roman"/>
                <w:color w:val="000000"/>
                <w:sz w:val="20"/>
              </w:rPr>
              <w:t>267</w:t>
            </w:r>
          </w:p>
        </w:tc>
      </w:tr>
    </w:tbl>
    <w:p w:rsidR="003541FB" w:rsidRDefault="00876EAD" w:rsidP="00876EAD">
      <w:pPr>
        <w:spacing w:after="240" w:line="240" w:lineRule="auto"/>
        <w:jc w:val="left"/>
        <w:rPr>
          <w:sz w:val="20"/>
        </w:rPr>
      </w:pPr>
      <w:r w:rsidRPr="006543D8">
        <w:rPr>
          <w:sz w:val="20"/>
        </w:rPr>
        <w:t xml:space="preserve">Źródło: </w:t>
      </w:r>
      <w:r w:rsidR="00D718E2">
        <w:rPr>
          <w:i/>
          <w:sz w:val="20"/>
        </w:rPr>
        <w:t xml:space="preserve">Badanie kwestionariuszowe w </w:t>
      </w:r>
      <w:r w:rsidR="00D718E2" w:rsidRPr="00D718E2">
        <w:rPr>
          <w:i/>
          <w:sz w:val="20"/>
        </w:rPr>
        <w:t xml:space="preserve"> szkołach podstawowych i gimnazjach </w:t>
      </w:r>
      <w:r w:rsidRPr="006543D8">
        <w:rPr>
          <w:i/>
          <w:sz w:val="20"/>
        </w:rPr>
        <w:t>z terenu powiatu świdwińskiego</w:t>
      </w:r>
      <w:r w:rsidRPr="006543D8">
        <w:rPr>
          <w:sz w:val="20"/>
        </w:rPr>
        <w:t>.</w:t>
      </w:r>
    </w:p>
    <w:p w:rsidR="00216E0F" w:rsidRPr="006543D8" w:rsidRDefault="003541FB" w:rsidP="006F37D0">
      <w:pPr>
        <w:ind w:firstLine="720"/>
        <w:rPr>
          <w:sz w:val="20"/>
        </w:rPr>
      </w:pPr>
      <w:r>
        <w:lastRenderedPageBreak/>
        <w:t>W badaniu udział wzię</w:t>
      </w:r>
      <w:r w:rsidR="001D5158">
        <w:t xml:space="preserve">ły dwa zespoły szkół </w:t>
      </w:r>
      <w:proofErr w:type="spellStart"/>
      <w:r w:rsidR="001D5158">
        <w:t>ponadgimnazjalnych</w:t>
      </w:r>
      <w:proofErr w:type="spellEnd"/>
      <w:r>
        <w:t xml:space="preserve"> obsługujące łącznie ~ </w:t>
      </w:r>
      <w:r w:rsidR="001D5158">
        <w:t>818</w:t>
      </w:r>
      <w:r>
        <w:t xml:space="preserve"> dzieci (bieżący rok szkolny). </w:t>
      </w:r>
      <w:r w:rsidR="006F37D0">
        <w:t xml:space="preserve">Wartość wskaźnika BMI utrzymuje się na bardzo wysokim poziomie, a w roku szkolnym 2012/2013 przekroczyła granice prawidłowości i znajduje się w przedziale nadwagi. Udział uczniów z nadwagą rośnie od 2009 roku i wynosi ~ 11,1%. </w:t>
      </w:r>
      <w:r>
        <w:t xml:space="preserve">Około </w:t>
      </w:r>
      <w:r w:rsidR="006F37D0">
        <w:t>8</w:t>
      </w:r>
      <w:r>
        <w:t>% uczniów przedstawia roczne zwolnienia z zajęć wychowania fizycznego, a absenc</w:t>
      </w:r>
      <w:r w:rsidR="006F37D0">
        <w:t>ja chorobowa wynosi około 12%.</w:t>
      </w:r>
    </w:p>
    <w:p w:rsidR="00D718E2" w:rsidRPr="00523F7D" w:rsidRDefault="00D718E2" w:rsidP="00D718E2">
      <w:pPr>
        <w:pStyle w:val="Legenda"/>
      </w:pPr>
      <w:r>
        <w:t xml:space="preserve">Tabela </w:t>
      </w:r>
      <w:r w:rsidR="00967BA4">
        <w:fldChar w:fldCharType="begin"/>
      </w:r>
      <w:r>
        <w:instrText xml:space="preserve"> SEQ Tabela \* ARABIC </w:instrText>
      </w:r>
      <w:r w:rsidR="00967BA4">
        <w:fldChar w:fldCharType="separate"/>
      </w:r>
      <w:r w:rsidR="006C7416">
        <w:rPr>
          <w:noProof/>
        </w:rPr>
        <w:t>15</w:t>
      </w:r>
      <w:r w:rsidR="00967BA4">
        <w:fldChar w:fldCharType="end"/>
      </w:r>
      <w:r w:rsidRPr="00D718E2">
        <w:t xml:space="preserve">Podstawowe dane dotyczące stylu życia w </w:t>
      </w:r>
      <w:proofErr w:type="spellStart"/>
      <w:r w:rsidRPr="00D718E2">
        <w:t>ponadgimnazjalnych</w:t>
      </w:r>
      <w:proofErr w:type="spellEnd"/>
      <w:r w:rsidRPr="00D718E2">
        <w:t xml:space="preserve"> placówkach edukacyjnych</w:t>
      </w:r>
    </w:p>
    <w:tbl>
      <w:tblPr>
        <w:tblW w:w="9467" w:type="dxa"/>
        <w:tblInd w:w="93" w:type="dxa"/>
        <w:tblBorders>
          <w:top w:val="single" w:sz="12" w:space="0" w:color="auto"/>
          <w:bottom w:val="single" w:sz="12" w:space="0" w:color="auto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835"/>
        <w:gridCol w:w="1158"/>
        <w:gridCol w:w="1158"/>
        <w:gridCol w:w="1158"/>
        <w:gridCol w:w="1158"/>
      </w:tblGrid>
      <w:tr w:rsidR="00D718E2" w:rsidRPr="00876EAD" w:rsidTr="00D718E2">
        <w:trPr>
          <w:trHeight w:val="240"/>
        </w:trPr>
        <w:tc>
          <w:tcPr>
            <w:tcW w:w="4835" w:type="dxa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8E2" w:rsidRPr="00876EAD" w:rsidRDefault="00D718E2" w:rsidP="00AB221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876EAD">
              <w:rPr>
                <w:rFonts w:eastAsia="Times New Roman" w:cs="Times New Roman"/>
                <w:b/>
                <w:bCs/>
                <w:color w:val="000000"/>
                <w:sz w:val="20"/>
              </w:rPr>
              <w:t>Wskaźniki</w:t>
            </w:r>
          </w:p>
        </w:tc>
        <w:tc>
          <w:tcPr>
            <w:tcW w:w="115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8E2" w:rsidRPr="00D718E2" w:rsidRDefault="00D718E2" w:rsidP="00D718E2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color w:val="000000"/>
                <w:sz w:val="20"/>
              </w:rPr>
            </w:pPr>
            <w:r w:rsidRPr="00D718E2">
              <w:rPr>
                <w:rFonts w:eastAsia="Times New Roman" w:cs="Times New Roman"/>
                <w:b/>
                <w:color w:val="000000"/>
                <w:sz w:val="20"/>
              </w:rPr>
              <w:t>2009/2010</w:t>
            </w:r>
          </w:p>
        </w:tc>
        <w:tc>
          <w:tcPr>
            <w:tcW w:w="115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8E2" w:rsidRPr="00D718E2" w:rsidRDefault="00D718E2" w:rsidP="00D718E2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color w:val="000000"/>
                <w:sz w:val="20"/>
              </w:rPr>
            </w:pPr>
            <w:r w:rsidRPr="00D718E2">
              <w:rPr>
                <w:rFonts w:eastAsia="Times New Roman" w:cs="Times New Roman"/>
                <w:b/>
                <w:color w:val="000000"/>
                <w:sz w:val="20"/>
              </w:rPr>
              <w:t>2010/2011</w:t>
            </w:r>
          </w:p>
        </w:tc>
        <w:tc>
          <w:tcPr>
            <w:tcW w:w="115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8E2" w:rsidRPr="00D718E2" w:rsidRDefault="00D718E2" w:rsidP="00D718E2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color w:val="000000"/>
                <w:sz w:val="20"/>
              </w:rPr>
            </w:pPr>
            <w:r w:rsidRPr="00D718E2">
              <w:rPr>
                <w:rFonts w:eastAsia="Times New Roman" w:cs="Times New Roman"/>
                <w:b/>
                <w:color w:val="000000"/>
                <w:sz w:val="20"/>
              </w:rPr>
              <w:t>2011/2012</w:t>
            </w:r>
          </w:p>
        </w:tc>
        <w:tc>
          <w:tcPr>
            <w:tcW w:w="1158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8E2" w:rsidRPr="00D718E2" w:rsidRDefault="00D718E2" w:rsidP="00D718E2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color w:val="000000"/>
                <w:sz w:val="20"/>
              </w:rPr>
            </w:pPr>
            <w:r w:rsidRPr="00D718E2">
              <w:rPr>
                <w:rFonts w:eastAsia="Times New Roman" w:cs="Times New Roman"/>
                <w:b/>
                <w:color w:val="000000"/>
                <w:sz w:val="20"/>
              </w:rPr>
              <w:t>2012/2013</w:t>
            </w:r>
          </w:p>
        </w:tc>
      </w:tr>
      <w:tr w:rsidR="00F371AC" w:rsidRPr="00876EAD" w:rsidTr="00F371AC">
        <w:trPr>
          <w:trHeight w:val="240"/>
        </w:trPr>
        <w:tc>
          <w:tcPr>
            <w:tcW w:w="4835" w:type="dxa"/>
            <w:shd w:val="clear" w:color="auto" w:fill="auto"/>
            <w:noWrap/>
            <w:vAlign w:val="center"/>
          </w:tcPr>
          <w:p w:rsidR="00F371AC" w:rsidRPr="00876EAD" w:rsidRDefault="00F371AC" w:rsidP="00AB2216">
            <w:pPr>
              <w:spacing w:before="40" w:after="40" w:line="240" w:lineRule="auto"/>
              <w:jc w:val="left"/>
              <w:rPr>
                <w:rFonts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18"/>
              </w:rPr>
              <w:t>Liczba dzieci ogółem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F371AC" w:rsidRPr="00F371AC" w:rsidRDefault="00F371AC" w:rsidP="00F371AC">
            <w:pPr>
              <w:spacing w:before="40" w:after="4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F371AC">
              <w:rPr>
                <w:rFonts w:eastAsia="Times New Roman" w:cs="Times New Roman"/>
                <w:color w:val="000000"/>
                <w:sz w:val="20"/>
              </w:rPr>
              <w:t>1040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F371AC" w:rsidRPr="00F371AC" w:rsidRDefault="00F371AC" w:rsidP="00F371AC">
            <w:pPr>
              <w:spacing w:before="40" w:after="4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F371AC">
              <w:rPr>
                <w:rFonts w:eastAsia="Times New Roman" w:cs="Times New Roman"/>
                <w:color w:val="000000"/>
                <w:sz w:val="20"/>
              </w:rPr>
              <w:t>995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F371AC" w:rsidRPr="00F371AC" w:rsidRDefault="00F371AC" w:rsidP="00F371AC">
            <w:pPr>
              <w:spacing w:before="40" w:after="4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F371AC">
              <w:rPr>
                <w:rFonts w:eastAsia="Times New Roman" w:cs="Times New Roman"/>
                <w:color w:val="000000"/>
                <w:sz w:val="20"/>
              </w:rPr>
              <w:t>906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F371AC" w:rsidRPr="00F371AC" w:rsidRDefault="00F371AC" w:rsidP="00F371AC">
            <w:pPr>
              <w:spacing w:before="40" w:after="4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F371AC">
              <w:rPr>
                <w:rFonts w:eastAsia="Times New Roman" w:cs="Times New Roman"/>
                <w:color w:val="000000"/>
                <w:sz w:val="20"/>
              </w:rPr>
              <w:t>818</w:t>
            </w:r>
          </w:p>
        </w:tc>
      </w:tr>
      <w:tr w:rsidR="00D718E2" w:rsidRPr="00876EAD" w:rsidTr="00D718E2">
        <w:trPr>
          <w:trHeight w:val="240"/>
        </w:trPr>
        <w:tc>
          <w:tcPr>
            <w:tcW w:w="4835" w:type="dxa"/>
            <w:shd w:val="clear" w:color="auto" w:fill="auto"/>
            <w:noWrap/>
            <w:vAlign w:val="center"/>
            <w:hideMark/>
          </w:tcPr>
          <w:p w:rsidR="00D718E2" w:rsidRPr="00876EAD" w:rsidRDefault="00D718E2" w:rsidP="00AB2216">
            <w:pPr>
              <w:spacing w:before="40" w:after="40" w:line="240" w:lineRule="auto"/>
              <w:jc w:val="left"/>
              <w:rPr>
                <w:rFonts w:eastAsia="Times New Roman" w:cs="Times New Roman"/>
                <w:color w:val="000000"/>
                <w:sz w:val="20"/>
              </w:rPr>
            </w:pPr>
            <w:r w:rsidRPr="00876EAD">
              <w:rPr>
                <w:rFonts w:eastAsia="Times New Roman" w:cs="Times New Roman"/>
                <w:color w:val="000000"/>
                <w:sz w:val="20"/>
              </w:rPr>
              <w:t>Liczba uczniów z nadwagą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D718E2" w:rsidRPr="00D718E2" w:rsidRDefault="00D718E2" w:rsidP="00D718E2">
            <w:pPr>
              <w:spacing w:before="40" w:after="4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D718E2">
              <w:rPr>
                <w:rFonts w:eastAsia="Times New Roman" w:cs="Times New Roman"/>
                <w:color w:val="000000"/>
                <w:sz w:val="20"/>
              </w:rPr>
              <w:t>83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D718E2" w:rsidRPr="00D718E2" w:rsidRDefault="00D718E2" w:rsidP="00D718E2">
            <w:pPr>
              <w:spacing w:before="40" w:after="4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D718E2">
              <w:rPr>
                <w:rFonts w:eastAsia="Times New Roman" w:cs="Times New Roman"/>
                <w:color w:val="000000"/>
                <w:sz w:val="20"/>
              </w:rPr>
              <w:t>78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D718E2" w:rsidRPr="00D718E2" w:rsidRDefault="00D718E2" w:rsidP="00D718E2">
            <w:pPr>
              <w:spacing w:before="40" w:after="4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D718E2">
              <w:rPr>
                <w:rFonts w:eastAsia="Times New Roman" w:cs="Times New Roman"/>
                <w:color w:val="000000"/>
                <w:sz w:val="20"/>
              </w:rPr>
              <w:t>86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D718E2" w:rsidRPr="00D718E2" w:rsidRDefault="00D718E2" w:rsidP="00D718E2">
            <w:pPr>
              <w:spacing w:before="40" w:after="4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D718E2">
              <w:rPr>
                <w:rFonts w:eastAsia="Times New Roman" w:cs="Times New Roman"/>
                <w:color w:val="000000"/>
                <w:sz w:val="20"/>
              </w:rPr>
              <w:t>91</w:t>
            </w:r>
          </w:p>
        </w:tc>
      </w:tr>
      <w:tr w:rsidR="00D718E2" w:rsidRPr="00876EAD" w:rsidTr="00D718E2">
        <w:trPr>
          <w:trHeight w:val="240"/>
        </w:trPr>
        <w:tc>
          <w:tcPr>
            <w:tcW w:w="4835" w:type="dxa"/>
            <w:shd w:val="clear" w:color="auto" w:fill="auto"/>
            <w:noWrap/>
            <w:vAlign w:val="center"/>
            <w:hideMark/>
          </w:tcPr>
          <w:p w:rsidR="00D718E2" w:rsidRPr="00876EAD" w:rsidRDefault="00D718E2" w:rsidP="00AB2216">
            <w:pPr>
              <w:spacing w:before="40" w:after="40" w:line="240" w:lineRule="auto"/>
              <w:jc w:val="left"/>
              <w:rPr>
                <w:rFonts w:eastAsia="Times New Roman" w:cs="Times New Roman"/>
                <w:color w:val="000000"/>
                <w:sz w:val="20"/>
              </w:rPr>
            </w:pPr>
            <w:r w:rsidRPr="00876EAD">
              <w:rPr>
                <w:rFonts w:eastAsia="Times New Roman" w:cs="Times New Roman"/>
                <w:color w:val="000000"/>
                <w:sz w:val="20"/>
              </w:rPr>
              <w:t>Wartość średniego BMI uczniów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D718E2" w:rsidRPr="00D718E2" w:rsidRDefault="00D718E2" w:rsidP="00D718E2">
            <w:pPr>
              <w:spacing w:before="40" w:after="4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D718E2">
              <w:rPr>
                <w:rFonts w:eastAsia="Times New Roman" w:cs="Times New Roman"/>
                <w:color w:val="000000"/>
                <w:sz w:val="20"/>
              </w:rPr>
              <w:t>24,6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D718E2" w:rsidRPr="00D718E2" w:rsidRDefault="00D718E2" w:rsidP="00D718E2">
            <w:pPr>
              <w:spacing w:before="40" w:after="4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D718E2">
              <w:rPr>
                <w:rFonts w:eastAsia="Times New Roman" w:cs="Times New Roman"/>
                <w:color w:val="000000"/>
                <w:sz w:val="20"/>
              </w:rPr>
              <w:t>24,3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D718E2" w:rsidRPr="00D718E2" w:rsidRDefault="00D718E2" w:rsidP="00D718E2">
            <w:pPr>
              <w:spacing w:before="40" w:after="4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D718E2">
              <w:rPr>
                <w:rFonts w:eastAsia="Times New Roman" w:cs="Times New Roman"/>
                <w:color w:val="000000"/>
                <w:sz w:val="20"/>
              </w:rPr>
              <w:t>24,7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D718E2" w:rsidRPr="00D718E2" w:rsidRDefault="00D718E2" w:rsidP="00D718E2">
            <w:pPr>
              <w:spacing w:before="40" w:after="4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D718E2">
              <w:rPr>
                <w:rFonts w:eastAsia="Times New Roman" w:cs="Times New Roman"/>
                <w:color w:val="000000"/>
                <w:sz w:val="20"/>
              </w:rPr>
              <w:t>25,3</w:t>
            </w:r>
          </w:p>
        </w:tc>
      </w:tr>
      <w:tr w:rsidR="00D718E2" w:rsidRPr="00876EAD" w:rsidTr="00D718E2">
        <w:trPr>
          <w:trHeight w:val="240"/>
        </w:trPr>
        <w:tc>
          <w:tcPr>
            <w:tcW w:w="4835" w:type="dxa"/>
            <w:shd w:val="clear" w:color="auto" w:fill="auto"/>
            <w:noWrap/>
            <w:vAlign w:val="center"/>
            <w:hideMark/>
          </w:tcPr>
          <w:p w:rsidR="00D718E2" w:rsidRPr="00876EAD" w:rsidRDefault="00D718E2" w:rsidP="00AB2216">
            <w:pPr>
              <w:spacing w:before="40" w:after="40" w:line="240" w:lineRule="auto"/>
              <w:jc w:val="left"/>
              <w:rPr>
                <w:rFonts w:eastAsia="Times New Roman" w:cs="Times New Roman"/>
                <w:color w:val="000000"/>
                <w:sz w:val="20"/>
              </w:rPr>
            </w:pPr>
            <w:r w:rsidRPr="00876EAD">
              <w:rPr>
                <w:rFonts w:eastAsia="Times New Roman" w:cs="Times New Roman"/>
                <w:color w:val="000000"/>
                <w:sz w:val="20"/>
              </w:rPr>
              <w:t>Liczba uczniów z cukrzycą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D718E2" w:rsidRPr="00D718E2" w:rsidRDefault="00D718E2" w:rsidP="00D718E2">
            <w:pPr>
              <w:spacing w:before="40" w:after="4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D718E2">
              <w:rPr>
                <w:rFonts w:eastAsia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D718E2" w:rsidRPr="00D718E2" w:rsidRDefault="00D718E2" w:rsidP="00D718E2">
            <w:pPr>
              <w:spacing w:before="40" w:after="4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D718E2">
              <w:rPr>
                <w:rFonts w:eastAsia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D718E2" w:rsidRPr="00D718E2" w:rsidRDefault="00D718E2" w:rsidP="00D718E2">
            <w:pPr>
              <w:spacing w:before="40" w:after="4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D718E2">
              <w:rPr>
                <w:rFonts w:eastAsia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D718E2" w:rsidRPr="00D718E2" w:rsidRDefault="00D718E2" w:rsidP="00D718E2">
            <w:pPr>
              <w:spacing w:before="40" w:after="4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D718E2">
              <w:rPr>
                <w:rFonts w:eastAsia="Times New Roman" w:cs="Times New Roman"/>
                <w:color w:val="000000"/>
                <w:sz w:val="20"/>
              </w:rPr>
              <w:t>1</w:t>
            </w:r>
          </w:p>
        </w:tc>
      </w:tr>
      <w:tr w:rsidR="00D718E2" w:rsidRPr="00876EAD" w:rsidTr="00D718E2">
        <w:trPr>
          <w:trHeight w:val="240"/>
        </w:trPr>
        <w:tc>
          <w:tcPr>
            <w:tcW w:w="4835" w:type="dxa"/>
            <w:shd w:val="clear" w:color="auto" w:fill="auto"/>
            <w:noWrap/>
            <w:vAlign w:val="center"/>
            <w:hideMark/>
          </w:tcPr>
          <w:p w:rsidR="00D718E2" w:rsidRPr="00876EAD" w:rsidRDefault="00D718E2" w:rsidP="00AB2216">
            <w:pPr>
              <w:spacing w:before="40" w:after="40" w:line="240" w:lineRule="auto"/>
              <w:jc w:val="left"/>
              <w:rPr>
                <w:rFonts w:eastAsia="Times New Roman" w:cs="Times New Roman"/>
                <w:color w:val="000000"/>
                <w:sz w:val="20"/>
              </w:rPr>
            </w:pPr>
            <w:r w:rsidRPr="00876EAD">
              <w:rPr>
                <w:rFonts w:eastAsia="Times New Roman" w:cs="Times New Roman"/>
                <w:color w:val="000000"/>
                <w:sz w:val="20"/>
              </w:rPr>
              <w:t>Wskaźnik absencji chorobowej (liczba opuszczonych dni/liczba dni zajęć szkolnych)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D718E2" w:rsidRPr="00D718E2" w:rsidRDefault="00D718E2" w:rsidP="00D718E2">
            <w:pPr>
              <w:spacing w:before="40" w:after="4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D718E2">
              <w:rPr>
                <w:rFonts w:eastAsia="Times New Roman" w:cs="Times New Roman"/>
                <w:color w:val="000000"/>
                <w:sz w:val="20"/>
              </w:rPr>
              <w:t>0,11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D718E2" w:rsidRPr="00D718E2" w:rsidRDefault="00D718E2" w:rsidP="00D718E2">
            <w:pPr>
              <w:spacing w:before="40" w:after="4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D718E2">
              <w:rPr>
                <w:rFonts w:eastAsia="Times New Roman" w:cs="Times New Roman"/>
                <w:color w:val="000000"/>
                <w:sz w:val="20"/>
              </w:rPr>
              <w:t>0,12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D718E2" w:rsidRPr="00D718E2" w:rsidRDefault="00D718E2" w:rsidP="00D718E2">
            <w:pPr>
              <w:spacing w:before="40" w:after="4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D718E2">
              <w:rPr>
                <w:rFonts w:eastAsia="Times New Roman" w:cs="Times New Roman"/>
                <w:color w:val="000000"/>
                <w:sz w:val="20"/>
              </w:rPr>
              <w:t>0,11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D718E2" w:rsidRPr="00D718E2" w:rsidRDefault="00D718E2" w:rsidP="00D718E2">
            <w:pPr>
              <w:spacing w:before="40" w:after="4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D718E2">
              <w:rPr>
                <w:rFonts w:eastAsia="Times New Roman" w:cs="Times New Roman"/>
                <w:color w:val="000000"/>
                <w:sz w:val="20"/>
              </w:rPr>
              <w:t>0,12</w:t>
            </w:r>
          </w:p>
        </w:tc>
      </w:tr>
      <w:tr w:rsidR="00D718E2" w:rsidRPr="00876EAD" w:rsidTr="00D718E2">
        <w:trPr>
          <w:trHeight w:val="240"/>
        </w:trPr>
        <w:tc>
          <w:tcPr>
            <w:tcW w:w="4835" w:type="dxa"/>
            <w:shd w:val="clear" w:color="auto" w:fill="auto"/>
            <w:noWrap/>
            <w:vAlign w:val="center"/>
            <w:hideMark/>
          </w:tcPr>
          <w:p w:rsidR="00D718E2" w:rsidRPr="00876EAD" w:rsidRDefault="00D718E2" w:rsidP="00AB2216">
            <w:pPr>
              <w:spacing w:before="40" w:after="40" w:line="240" w:lineRule="auto"/>
              <w:jc w:val="left"/>
              <w:rPr>
                <w:rFonts w:eastAsia="Times New Roman" w:cs="Times New Roman"/>
                <w:color w:val="000000"/>
                <w:sz w:val="20"/>
              </w:rPr>
            </w:pPr>
            <w:r w:rsidRPr="00876EAD">
              <w:rPr>
                <w:rFonts w:eastAsia="Times New Roman" w:cs="Times New Roman"/>
                <w:color w:val="000000"/>
                <w:sz w:val="20"/>
              </w:rPr>
              <w:t>Liczba uczniów przebywających na rocznych zwolnieniach z zajęć WF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D718E2" w:rsidRPr="00D718E2" w:rsidRDefault="00D718E2" w:rsidP="00D718E2">
            <w:pPr>
              <w:spacing w:before="40" w:after="4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D718E2">
              <w:rPr>
                <w:rFonts w:eastAsia="Times New Roman" w:cs="Times New Roman"/>
                <w:color w:val="000000"/>
                <w:sz w:val="20"/>
              </w:rPr>
              <w:t>91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D718E2" w:rsidRPr="00D718E2" w:rsidRDefault="00D718E2" w:rsidP="00D718E2">
            <w:pPr>
              <w:spacing w:before="40" w:after="4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D718E2">
              <w:rPr>
                <w:rFonts w:eastAsia="Times New Roman" w:cs="Times New Roman"/>
                <w:color w:val="000000"/>
                <w:sz w:val="20"/>
              </w:rPr>
              <w:t>79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D718E2" w:rsidRPr="00D718E2" w:rsidRDefault="00D718E2" w:rsidP="00D718E2">
            <w:pPr>
              <w:spacing w:before="40" w:after="4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D718E2">
              <w:rPr>
                <w:rFonts w:eastAsia="Times New Roman" w:cs="Times New Roman"/>
                <w:color w:val="000000"/>
                <w:sz w:val="20"/>
              </w:rPr>
              <w:t>74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D718E2" w:rsidRPr="00D718E2" w:rsidRDefault="00D718E2" w:rsidP="00D718E2">
            <w:pPr>
              <w:spacing w:before="40" w:after="4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D718E2">
              <w:rPr>
                <w:rFonts w:eastAsia="Times New Roman" w:cs="Times New Roman"/>
                <w:color w:val="000000"/>
                <w:sz w:val="20"/>
              </w:rPr>
              <w:t>66</w:t>
            </w:r>
          </w:p>
        </w:tc>
      </w:tr>
      <w:tr w:rsidR="00D718E2" w:rsidRPr="00876EAD" w:rsidTr="00D718E2">
        <w:trPr>
          <w:trHeight w:val="240"/>
        </w:trPr>
        <w:tc>
          <w:tcPr>
            <w:tcW w:w="4835" w:type="dxa"/>
            <w:shd w:val="clear" w:color="auto" w:fill="auto"/>
            <w:noWrap/>
            <w:vAlign w:val="center"/>
            <w:hideMark/>
          </w:tcPr>
          <w:p w:rsidR="00D718E2" w:rsidRPr="00876EAD" w:rsidRDefault="00D718E2" w:rsidP="00AB2216">
            <w:pPr>
              <w:spacing w:before="40" w:after="40" w:line="240" w:lineRule="auto"/>
              <w:jc w:val="left"/>
              <w:rPr>
                <w:rFonts w:eastAsia="Times New Roman" w:cs="Times New Roman"/>
                <w:color w:val="000000"/>
                <w:sz w:val="20"/>
              </w:rPr>
            </w:pPr>
            <w:r w:rsidRPr="00876EAD">
              <w:rPr>
                <w:rFonts w:eastAsia="Times New Roman" w:cs="Times New Roman"/>
                <w:color w:val="000000"/>
                <w:sz w:val="20"/>
              </w:rPr>
              <w:t>Liczba uczniów korzystających z pomocowych zasiłków szkolnych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D718E2" w:rsidRPr="00D718E2" w:rsidRDefault="00D718E2" w:rsidP="00D718E2">
            <w:pPr>
              <w:spacing w:before="40" w:after="4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D718E2">
              <w:rPr>
                <w:rFonts w:eastAsia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D718E2" w:rsidRPr="00D718E2" w:rsidRDefault="00D718E2" w:rsidP="00D718E2">
            <w:pPr>
              <w:spacing w:before="40" w:after="4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D718E2">
              <w:rPr>
                <w:rFonts w:eastAsia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D718E2" w:rsidRPr="00D718E2" w:rsidRDefault="00D718E2" w:rsidP="00D718E2">
            <w:pPr>
              <w:spacing w:before="40" w:after="4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D718E2">
              <w:rPr>
                <w:rFonts w:eastAsia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D718E2" w:rsidRPr="00D718E2" w:rsidRDefault="00D718E2" w:rsidP="00D718E2">
            <w:pPr>
              <w:spacing w:before="40" w:after="4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D718E2">
              <w:rPr>
                <w:rFonts w:eastAsia="Times New Roman" w:cs="Times New Roman"/>
                <w:color w:val="000000"/>
                <w:sz w:val="20"/>
              </w:rPr>
              <w:t>0</w:t>
            </w:r>
          </w:p>
        </w:tc>
      </w:tr>
    </w:tbl>
    <w:p w:rsidR="00D718E2" w:rsidRPr="006543D8" w:rsidRDefault="00D718E2" w:rsidP="00D718E2">
      <w:pPr>
        <w:spacing w:after="240" w:line="240" w:lineRule="auto"/>
        <w:jc w:val="left"/>
        <w:rPr>
          <w:sz w:val="20"/>
        </w:rPr>
      </w:pPr>
      <w:r w:rsidRPr="006543D8">
        <w:rPr>
          <w:sz w:val="20"/>
        </w:rPr>
        <w:t xml:space="preserve">Źródło: </w:t>
      </w:r>
      <w:r>
        <w:rPr>
          <w:i/>
          <w:sz w:val="20"/>
        </w:rPr>
        <w:t xml:space="preserve">Badanie kwestionariuszowe w </w:t>
      </w:r>
      <w:r w:rsidRPr="00D718E2">
        <w:rPr>
          <w:i/>
          <w:sz w:val="20"/>
        </w:rPr>
        <w:t xml:space="preserve"> </w:t>
      </w:r>
      <w:proofErr w:type="spellStart"/>
      <w:r w:rsidRPr="00D718E2">
        <w:rPr>
          <w:i/>
          <w:sz w:val="20"/>
        </w:rPr>
        <w:t>ponadgimnazjalnych</w:t>
      </w:r>
      <w:proofErr w:type="spellEnd"/>
      <w:r w:rsidRPr="00D718E2">
        <w:rPr>
          <w:i/>
          <w:sz w:val="20"/>
        </w:rPr>
        <w:t xml:space="preserve"> placówkach </w:t>
      </w:r>
      <w:proofErr w:type="spellStart"/>
      <w:r w:rsidRPr="00D718E2">
        <w:rPr>
          <w:i/>
          <w:sz w:val="20"/>
        </w:rPr>
        <w:t>edukacyjnych</w:t>
      </w:r>
      <w:r w:rsidRPr="006543D8">
        <w:rPr>
          <w:i/>
          <w:sz w:val="20"/>
        </w:rPr>
        <w:t>z</w:t>
      </w:r>
      <w:proofErr w:type="spellEnd"/>
      <w:r w:rsidRPr="006543D8">
        <w:rPr>
          <w:i/>
          <w:sz w:val="20"/>
        </w:rPr>
        <w:t xml:space="preserve"> terenu powiatu świdwińskiego</w:t>
      </w:r>
      <w:r w:rsidRPr="006543D8">
        <w:rPr>
          <w:sz w:val="20"/>
        </w:rPr>
        <w:t>.</w:t>
      </w:r>
    </w:p>
    <w:p w:rsidR="001A4D39" w:rsidRDefault="001A4D39" w:rsidP="006C7416">
      <w:pPr>
        <w:ind w:firstLine="720"/>
      </w:pPr>
      <w:r>
        <w:t>Wnioski z przeprowadzonego badania kwestionariuszowego przedstawiono poniżej:</w:t>
      </w:r>
    </w:p>
    <w:p w:rsidR="001A4D39" w:rsidRPr="00425A0F" w:rsidRDefault="00425A0F" w:rsidP="00425A0F">
      <w:pPr>
        <w:pStyle w:val="Akapitzlist"/>
        <w:numPr>
          <w:ilvl w:val="0"/>
          <w:numId w:val="4"/>
        </w:numPr>
        <w:rPr>
          <w:rFonts w:cs="Times New Roman"/>
          <w:color w:val="000000" w:themeColor="text1"/>
        </w:rPr>
      </w:pPr>
      <w:r w:rsidRPr="00425A0F">
        <w:rPr>
          <w:rFonts w:cs="Times New Roman"/>
          <w:color w:val="000000" w:themeColor="text1"/>
        </w:rPr>
        <w:t>problemy z nadwagą wyst</w:t>
      </w:r>
      <w:r w:rsidR="00853FBE">
        <w:rPr>
          <w:rFonts w:cs="Times New Roman"/>
          <w:color w:val="000000" w:themeColor="text1"/>
        </w:rPr>
        <w:t xml:space="preserve">ępują już w wieku przedszkolnym, a intensyfikacja zjawiska przypada na okres gimnazjalny i </w:t>
      </w:r>
      <w:proofErr w:type="spellStart"/>
      <w:r w:rsidR="00853FBE">
        <w:rPr>
          <w:rFonts w:cs="Times New Roman"/>
          <w:color w:val="000000" w:themeColor="text1"/>
        </w:rPr>
        <w:t>ponadgimnazjalny</w:t>
      </w:r>
      <w:proofErr w:type="spellEnd"/>
      <w:r w:rsidR="00853FBE">
        <w:rPr>
          <w:rFonts w:cs="Times New Roman"/>
          <w:color w:val="000000" w:themeColor="text1"/>
        </w:rPr>
        <w:t>;</w:t>
      </w:r>
    </w:p>
    <w:p w:rsidR="00425A0F" w:rsidRDefault="00425A0F" w:rsidP="00425A0F">
      <w:pPr>
        <w:pStyle w:val="Akapitzlist"/>
        <w:numPr>
          <w:ilvl w:val="0"/>
          <w:numId w:val="4"/>
        </w:num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zachorowania na cukrzycę pojawiają się już we wczesnych latach szkolnych;</w:t>
      </w:r>
    </w:p>
    <w:p w:rsidR="00425A0F" w:rsidRPr="00853FBE" w:rsidRDefault="00853FBE" w:rsidP="00853FBE">
      <w:pPr>
        <w:pStyle w:val="Akapitzlist"/>
        <w:numPr>
          <w:ilvl w:val="0"/>
          <w:numId w:val="4"/>
        </w:num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w wyższych rocznikach wzrasta wskaźnik absencji na zajęciach wychowania fizycznego.</w:t>
      </w:r>
    </w:p>
    <w:p w:rsidR="00DB1245" w:rsidRPr="00425A0F" w:rsidRDefault="00DB1245" w:rsidP="00D2138A">
      <w:pPr>
        <w:pStyle w:val="Akapitzlist"/>
        <w:rPr>
          <w:rFonts w:cs="Times New Roman"/>
          <w:color w:val="000000" w:themeColor="text1"/>
        </w:rPr>
      </w:pPr>
      <w:r w:rsidRPr="00425A0F">
        <w:rPr>
          <w:rFonts w:cs="Times New Roman"/>
          <w:color w:val="000000" w:themeColor="text1"/>
        </w:rPr>
        <w:br w:type="page"/>
      </w:r>
    </w:p>
    <w:p w:rsidR="007F6017" w:rsidRDefault="007F6017" w:rsidP="00734960">
      <w:pPr>
        <w:pStyle w:val="Nagwek1"/>
      </w:pPr>
      <w:bookmarkStart w:id="27" w:name="_Toc389078579"/>
      <w:r>
        <w:lastRenderedPageBreak/>
        <w:t>ETAP III</w:t>
      </w:r>
      <w:bookmarkEnd w:id="27"/>
    </w:p>
    <w:p w:rsidR="00734960" w:rsidRDefault="00734960" w:rsidP="00734960">
      <w:pPr>
        <w:pStyle w:val="Nagwek1"/>
      </w:pPr>
      <w:bookmarkStart w:id="28" w:name="_Toc389078580"/>
      <w:r>
        <w:t>Szczegółowa analiza grup ryzyka i wybór grupy docelowej</w:t>
      </w:r>
      <w:bookmarkEnd w:id="28"/>
    </w:p>
    <w:p w:rsidR="00F63C47" w:rsidRDefault="00B62789" w:rsidP="00F63C47">
      <w:r>
        <w:t xml:space="preserve">Geneza chorób układu trawiennego związana z wchłanianiem, w tym alergiami wskazuje, że wśród czynników ryzyka duże znaczenie mają uwarunkowania genetyczne. Statystycznie prawdopodobieństwo rozwoju alergii u dzieci zdrowych rodziców wynosi około 12%. Jeżeli u matki występuje alergia, ryzyko to wzrasta do 60%, natomiast gdy z powodu choroby cierpi również ojciec - nawet do 70-80%. Drugim bardzo ważnym czynnikiem odpowiedzialnym za powstawanie alergii jest szybko postępujący rozwój cywilizacyjny oraz narażenie na ekspozycję zanieczyszczeń. Nieprawidłowe </w:t>
      </w:r>
      <w:proofErr w:type="spellStart"/>
      <w:r>
        <w:t>odżywanie</w:t>
      </w:r>
      <w:r w:rsidR="002F1117">
        <w:t>również</w:t>
      </w:r>
      <w:proofErr w:type="spellEnd"/>
      <w:r w:rsidR="002F1117">
        <w:t xml:space="preserve"> stanowi czynnik ryzyka i jest k</w:t>
      </w:r>
      <w:r w:rsidR="000A53EA">
        <w:t xml:space="preserve">onsekwencją statusu materialnego oraz społecznego. Tym samym w grupie ryzyka znajdują się przede wszystkim osoby obciążone genetycznie, zagrożone ubóstwem o niskim statusie materialnym i społecznym. </w:t>
      </w:r>
    </w:p>
    <w:p w:rsidR="00E84917" w:rsidRDefault="00F63C47" w:rsidP="00CB008F">
      <w:pPr>
        <w:ind w:firstLine="720"/>
      </w:pPr>
      <w:r>
        <w:t>Geneza chorób układu trawiennego narządów miękkich oraz schorzenia jelit (również w kierunku diagnostyki zmian, które są wymieniane w śród czynników etiopatogenezy CRC). Występowanie w/w</w:t>
      </w:r>
      <w:r w:rsidR="002F1117">
        <w:t xml:space="preserve"> chorób jest </w:t>
      </w:r>
      <w:r>
        <w:t>skorelowane z wiekiem</w:t>
      </w:r>
      <w:r w:rsidR="002F1117">
        <w:t xml:space="preserve"> oraz z zaniedbaniami zdrowotnymi w wieku młodzieńczym</w:t>
      </w:r>
      <w:r>
        <w:t xml:space="preserve">. Wzrost zachorowań na choroby układu trawiennego postępuje po 50. </w:t>
      </w:r>
      <w:proofErr w:type="spellStart"/>
      <w:r>
        <w:t>r.ż</w:t>
      </w:r>
      <w:proofErr w:type="spellEnd"/>
      <w:r>
        <w:t xml:space="preserve">. </w:t>
      </w:r>
      <w:r w:rsidR="00272BAF">
        <w:t xml:space="preserve">U osób po 40. </w:t>
      </w:r>
      <w:proofErr w:type="spellStart"/>
      <w:r w:rsidR="00272BAF">
        <w:t>r.ż</w:t>
      </w:r>
      <w:proofErr w:type="spellEnd"/>
      <w:r w:rsidR="00272BAF">
        <w:t>. etiopatogeneza zachorowań wynika głó</w:t>
      </w:r>
      <w:r w:rsidR="00ED0593">
        <w:t>wnie z czynników genetycznych (co ma istotne znaczenie przy chorobach żołądka i jelita grubego)</w:t>
      </w:r>
      <w:r w:rsidR="00ED0593">
        <w:rPr>
          <w:rStyle w:val="Odwoanieprzypisudolnego"/>
        </w:rPr>
        <w:footnoteReference w:id="11"/>
      </w:r>
      <w:r w:rsidR="00ED0593">
        <w:t>.</w:t>
      </w:r>
      <w:r w:rsidR="00CB008F">
        <w:t xml:space="preserve"> Postępujące, w tym przewlekłe, choroby narządów miękkich układu trawiennego i jelita grubego spowodowane są czynnikami związanymi</w:t>
      </w:r>
      <w:r w:rsidR="00CB008F" w:rsidRPr="00BE022D">
        <w:t xml:space="preserve"> z dietą, używkami, ek</w:t>
      </w:r>
      <w:r w:rsidR="00CB008F">
        <w:t>spozycją</w:t>
      </w:r>
      <w:r w:rsidR="003722C1">
        <w:t xml:space="preserve"> na czynniki zewnętrzne (głównie zanieczyszczenia chemiczne i biologiczne wody).</w:t>
      </w:r>
      <w:r w:rsidR="002F1117">
        <w:t xml:space="preserve"> Wśród osób przed 40 </w:t>
      </w:r>
      <w:proofErr w:type="spellStart"/>
      <w:r w:rsidR="002F1117">
        <w:t>r.ż</w:t>
      </w:r>
      <w:proofErr w:type="spellEnd"/>
      <w:r w:rsidR="002F1117">
        <w:t>. zagrożenie wystąpieniem chorób układu trawiennego narządów miękkich oraz schorzeń jelit</w:t>
      </w:r>
      <w:r w:rsidR="006F620B">
        <w:t xml:space="preserve"> jest znacznie niższe, ale zaniedbania zdrowotne, w tym brak wczesnego rozpoznania pojawiających się symptomów chorobowych, zwiększa ryzyko zapadalności na choroby przewlekłe w wieku dojrzałym.</w:t>
      </w:r>
    </w:p>
    <w:p w:rsidR="003722C1" w:rsidRDefault="003722C1" w:rsidP="003722C1">
      <w:r>
        <w:lastRenderedPageBreak/>
        <w:tab/>
        <w:t xml:space="preserve">Z ogólnych grup ryzyka, wyselekcjonowano grupy docelowe. Podstawą selekcji były wyniki badania kwestionariuszowego w placówkach edukacyjnych oraz analiza statystyczna obszarów interwencji i schorzeń istotnych z punktu widzenia populacji powiatu. </w:t>
      </w:r>
    </w:p>
    <w:p w:rsidR="00B527DC" w:rsidRDefault="006A47B6" w:rsidP="00B527DC">
      <w:pPr>
        <w:pStyle w:val="Akapitzlist"/>
        <w:numPr>
          <w:ilvl w:val="0"/>
          <w:numId w:val="11"/>
        </w:numPr>
        <w:ind w:left="426" w:hanging="426"/>
      </w:pPr>
      <w:r>
        <w:t>Grupa docelowa w zakresie zaburzeń procesu wchłaniania i alergii</w:t>
      </w:r>
      <w:r w:rsidR="006B0B77">
        <w:t xml:space="preserve"> pokarmowych</w:t>
      </w:r>
      <w:r w:rsidR="00B527DC">
        <w:t xml:space="preserve">: </w:t>
      </w:r>
    </w:p>
    <w:p w:rsidR="006A47B6" w:rsidRDefault="00B527DC" w:rsidP="00B527DC">
      <w:pPr>
        <w:pStyle w:val="Akapitzlist"/>
        <w:numPr>
          <w:ilvl w:val="0"/>
          <w:numId w:val="10"/>
        </w:numPr>
      </w:pPr>
      <w:r>
        <w:t>wiek</w:t>
      </w:r>
      <w:r w:rsidR="002C3E72">
        <w:t xml:space="preserve"> 0</w:t>
      </w:r>
      <w:r>
        <w:t>-</w:t>
      </w:r>
      <w:r w:rsidR="001F0D93">
        <w:t>18</w:t>
      </w:r>
      <w:r>
        <w:t>;</w:t>
      </w:r>
    </w:p>
    <w:p w:rsidR="000A53EA" w:rsidRDefault="000A53EA" w:rsidP="00B527DC">
      <w:pPr>
        <w:pStyle w:val="Akapitzlist"/>
        <w:numPr>
          <w:ilvl w:val="0"/>
          <w:numId w:val="10"/>
        </w:numPr>
      </w:pPr>
      <w:r>
        <w:t>występowanie alergii u wstępnych członków rodziny;</w:t>
      </w:r>
    </w:p>
    <w:p w:rsidR="00021B25" w:rsidRDefault="00A57D76" w:rsidP="00A57D76">
      <w:pPr>
        <w:pStyle w:val="Akapitzlist"/>
        <w:numPr>
          <w:ilvl w:val="0"/>
          <w:numId w:val="10"/>
        </w:numPr>
      </w:pPr>
      <w:r>
        <w:t>osoby</w:t>
      </w:r>
      <w:r w:rsidR="006F620B">
        <w:t>/ rodziny</w:t>
      </w:r>
      <w:r>
        <w:t xml:space="preserve"> korzystające z opieki miejskich i gminnych ośrodków pomocy społecznej z tytułu </w:t>
      </w:r>
      <w:r w:rsidR="00B527DC">
        <w:t>p</w:t>
      </w:r>
      <w:r w:rsidR="00021B25">
        <w:t>oziom</w:t>
      </w:r>
      <w:r>
        <w:t>u</w:t>
      </w:r>
      <w:r w:rsidR="00021B25">
        <w:t xml:space="preserve"> dochodu </w:t>
      </w:r>
      <w:r w:rsidR="00B527DC">
        <w:t>na osobę poniżej granicy ubóstwa (wskazanie MOPS/ GOPS)</w:t>
      </w:r>
      <w:r>
        <w:t xml:space="preserve"> według </w:t>
      </w:r>
      <w:r w:rsidRPr="00A57D76">
        <w:t>kryterium dochodowości określone</w:t>
      </w:r>
      <w:r>
        <w:t>go w ustawie o pomocy społecznej;</w:t>
      </w:r>
    </w:p>
    <w:p w:rsidR="002C3E72" w:rsidRDefault="002C3E72" w:rsidP="00B527DC">
      <w:pPr>
        <w:pStyle w:val="Akapitzlist"/>
        <w:numPr>
          <w:ilvl w:val="0"/>
          <w:numId w:val="10"/>
        </w:numPr>
      </w:pPr>
      <w:r>
        <w:t>rodziny objęte przez PCPR oraz miejskie i gminne ośrodki pomocy społecznej ochroną związaną z występowaniem patologii (głównie alkoholizm i przemoc w rodzinie).</w:t>
      </w:r>
    </w:p>
    <w:p w:rsidR="00B527DC" w:rsidRDefault="00B527DC" w:rsidP="007F6017">
      <w:pPr>
        <w:pStyle w:val="Akapitzlist"/>
        <w:numPr>
          <w:ilvl w:val="0"/>
          <w:numId w:val="11"/>
        </w:numPr>
        <w:ind w:left="426" w:hanging="426"/>
      </w:pPr>
      <w:r>
        <w:t xml:space="preserve">Grupa docelowa w zakresie </w:t>
      </w:r>
      <w:r w:rsidR="006B0B77">
        <w:t>chorób jamy ustnej</w:t>
      </w:r>
      <w:r>
        <w:t>:</w:t>
      </w:r>
    </w:p>
    <w:p w:rsidR="00B527DC" w:rsidRDefault="00B527DC" w:rsidP="00B527DC">
      <w:pPr>
        <w:pStyle w:val="Akapitzlist"/>
        <w:numPr>
          <w:ilvl w:val="0"/>
          <w:numId w:val="10"/>
        </w:numPr>
      </w:pPr>
      <w:r>
        <w:t>wiek</w:t>
      </w:r>
      <w:r w:rsidR="002C3E72">
        <w:t xml:space="preserve"> 7</w:t>
      </w:r>
      <w:r>
        <w:t>-</w:t>
      </w:r>
      <w:r w:rsidR="002C3E72">
        <w:t>18</w:t>
      </w:r>
      <w:r w:rsidR="00F13DEC">
        <w:t xml:space="preserve"> lat</w:t>
      </w:r>
      <w:r>
        <w:t>;</w:t>
      </w:r>
    </w:p>
    <w:p w:rsidR="00B527DC" w:rsidRDefault="00B527DC" w:rsidP="00B527DC">
      <w:pPr>
        <w:pStyle w:val="Akapitzlist"/>
        <w:numPr>
          <w:ilvl w:val="0"/>
          <w:numId w:val="10"/>
        </w:numPr>
      </w:pPr>
      <w:r>
        <w:t>poziom dochodu na osobę poniżej granicy ubóstwa (wskazanie MOPS/ GOPS)</w:t>
      </w:r>
      <w:r w:rsidR="00B62789">
        <w:t>.</w:t>
      </w:r>
    </w:p>
    <w:p w:rsidR="006A47B6" w:rsidRDefault="006A47B6" w:rsidP="002C3E72">
      <w:pPr>
        <w:pStyle w:val="Akapitzlist"/>
        <w:numPr>
          <w:ilvl w:val="0"/>
          <w:numId w:val="11"/>
        </w:numPr>
        <w:ind w:left="426" w:hanging="426"/>
      </w:pPr>
      <w:r>
        <w:t>Grupa docelowa w zakresie chorób narządów trawiennych i jelita grubego</w:t>
      </w:r>
      <w:r w:rsidR="002C3E72">
        <w:t>:</w:t>
      </w:r>
    </w:p>
    <w:p w:rsidR="002C3E72" w:rsidRDefault="002C3E72" w:rsidP="002C3E72">
      <w:pPr>
        <w:pStyle w:val="Akapitzlist"/>
        <w:numPr>
          <w:ilvl w:val="0"/>
          <w:numId w:val="10"/>
        </w:numPr>
      </w:pPr>
      <w:r>
        <w:t xml:space="preserve">wiek </w:t>
      </w:r>
      <w:r w:rsidR="008F2DE6">
        <w:t>18</w:t>
      </w:r>
      <w:r>
        <w:t>-70</w:t>
      </w:r>
      <w:r w:rsidR="00F13DEC">
        <w:t xml:space="preserve"> lat</w:t>
      </w:r>
      <w:r>
        <w:t>;</w:t>
      </w:r>
    </w:p>
    <w:p w:rsidR="002C3E72" w:rsidRDefault="002C3E72" w:rsidP="002C3E72">
      <w:pPr>
        <w:pStyle w:val="Akapitzlist"/>
        <w:numPr>
          <w:ilvl w:val="0"/>
          <w:numId w:val="10"/>
        </w:numPr>
      </w:pPr>
      <w:r>
        <w:t>wysoki wskaźnik BMI &gt; 26</w:t>
      </w:r>
      <w:r w:rsidR="000A53EA">
        <w:t>;</w:t>
      </w:r>
    </w:p>
    <w:p w:rsidR="002C3E72" w:rsidRDefault="002C3E72" w:rsidP="002C3E72">
      <w:pPr>
        <w:pStyle w:val="Akapitzlist"/>
        <w:numPr>
          <w:ilvl w:val="0"/>
          <w:numId w:val="10"/>
        </w:numPr>
      </w:pPr>
      <w:r>
        <w:t>umiarkowane lub wysokie spożycie alkoholu;</w:t>
      </w:r>
    </w:p>
    <w:p w:rsidR="002C3E72" w:rsidRDefault="002C3E72" w:rsidP="002C3E72">
      <w:pPr>
        <w:pStyle w:val="Akapitzlist"/>
        <w:numPr>
          <w:ilvl w:val="0"/>
          <w:numId w:val="10"/>
        </w:numPr>
      </w:pPr>
      <w:r>
        <w:t>negatywne nawyki żywieniowe;</w:t>
      </w:r>
    </w:p>
    <w:p w:rsidR="006F620B" w:rsidRDefault="006F620B" w:rsidP="002C3E72">
      <w:pPr>
        <w:pStyle w:val="Akapitzlist"/>
        <w:numPr>
          <w:ilvl w:val="0"/>
          <w:numId w:val="10"/>
        </w:numPr>
      </w:pPr>
      <w:r>
        <w:t>narażenie na długotrwały stres;</w:t>
      </w:r>
    </w:p>
    <w:p w:rsidR="008E1600" w:rsidRDefault="008E1600" w:rsidP="008E1600">
      <w:pPr>
        <w:pStyle w:val="Akapitzlist"/>
        <w:numPr>
          <w:ilvl w:val="0"/>
          <w:numId w:val="10"/>
        </w:numPr>
      </w:pPr>
      <w:r>
        <w:t xml:space="preserve">osoby korzystające z opieki miejskich i gminnych ośrodków pomocy społecznej z tytułu poziomu dochodu na osobę poniżej granicy ubóstwa (wskazanie MOPS/ GOPS) według </w:t>
      </w:r>
      <w:r w:rsidRPr="00A57D76">
        <w:t>kryterium dochodowości określone</w:t>
      </w:r>
      <w:r>
        <w:t>go w ustawie o pomocy społecznej;</w:t>
      </w:r>
    </w:p>
    <w:p w:rsidR="008E1600" w:rsidRDefault="008E1600" w:rsidP="008E1600">
      <w:pPr>
        <w:pStyle w:val="Akapitzlist"/>
        <w:numPr>
          <w:ilvl w:val="0"/>
          <w:numId w:val="10"/>
        </w:numPr>
      </w:pPr>
      <w:r>
        <w:t>rodziny objęte przez PCPR oraz miejskie i gminne ośrodki pomocy społecznej ochroną związaną z występowaniem patologii (głównie alkoholizm i przemoc w rodzinie).</w:t>
      </w:r>
    </w:p>
    <w:p w:rsidR="006A47B6" w:rsidRDefault="006A47B6" w:rsidP="007F6017"/>
    <w:p w:rsidR="007F6017" w:rsidRDefault="007F6017" w:rsidP="006C7416">
      <w:pPr>
        <w:spacing w:after="240" w:line="240" w:lineRule="auto"/>
      </w:pPr>
      <w:r>
        <w:br w:type="page"/>
      </w:r>
    </w:p>
    <w:p w:rsidR="009C2040" w:rsidRDefault="009C2040" w:rsidP="009C2040">
      <w:pPr>
        <w:pStyle w:val="Nagwek1"/>
        <w:pBdr>
          <w:bottom w:val="single" w:sz="24" w:space="1" w:color="4F81BD" w:themeColor="accent1"/>
        </w:pBdr>
      </w:pPr>
      <w:bookmarkStart w:id="29" w:name="_Toc387117353"/>
      <w:bookmarkStart w:id="30" w:name="_Toc389078581"/>
      <w:r>
        <w:lastRenderedPageBreak/>
        <w:t>ETAP IV</w:t>
      </w:r>
      <w:bookmarkStart w:id="31" w:name="_Toc387117354"/>
      <w:bookmarkEnd w:id="29"/>
      <w:r>
        <w:t>Podsumowanie</w:t>
      </w:r>
      <w:bookmarkEnd w:id="30"/>
      <w:bookmarkEnd w:id="31"/>
    </w:p>
    <w:p w:rsidR="00F13DEC" w:rsidRDefault="00593FA2" w:rsidP="009C2040">
      <w:r>
        <w:t>Wnioski z przeprowadzonej analizy:</w:t>
      </w:r>
    </w:p>
    <w:p w:rsidR="000E48F9" w:rsidRDefault="000E48F9" w:rsidP="00191259">
      <w:pPr>
        <w:pStyle w:val="Akapitzlist"/>
        <w:numPr>
          <w:ilvl w:val="0"/>
          <w:numId w:val="13"/>
        </w:numPr>
      </w:pPr>
      <w:r>
        <w:t xml:space="preserve">najwyższą wartość wskaźnika SMR w latach 2009-2011 zanotowano dla zewnętrznych przyczyn zgonów; </w:t>
      </w:r>
    </w:p>
    <w:p w:rsidR="000E48F9" w:rsidRDefault="000E48F9" w:rsidP="000E48F9">
      <w:pPr>
        <w:pStyle w:val="Akapitzlist"/>
        <w:numPr>
          <w:ilvl w:val="0"/>
          <w:numId w:val="13"/>
        </w:numPr>
      </w:pPr>
      <w:r>
        <w:t>Powiat Świdwiński oraz inne instytucje publiczne z terenu powiatu, realizowały w ostatnich latach programy promocyjne, których celem było ograniczenie śmiertelności spowodowanej przyczynami zewnętrznymi; prowadzone działania odniosły skutek, bowiem porównując dane dla roku 2009 i 2013, odnotowano spadek śmiertelności w analizowany obszarze;</w:t>
      </w:r>
    </w:p>
    <w:p w:rsidR="001314E5" w:rsidRDefault="00A55434" w:rsidP="00A55434">
      <w:pPr>
        <w:pStyle w:val="Akapitzlist"/>
        <w:numPr>
          <w:ilvl w:val="0"/>
          <w:numId w:val="13"/>
        </w:numPr>
      </w:pPr>
      <w:r>
        <w:t xml:space="preserve">drugą najwyższą wartość wskaźnika SMR w latach 2009-2011 zanotowano dla chorób układu trawiennego, a jego </w:t>
      </w:r>
      <w:r w:rsidR="001314E5">
        <w:t>wartość sytuuje powiat świdwiński na 31. miejscu w Polsce</w:t>
      </w:r>
      <w:r w:rsidR="00D23C0B">
        <w:t xml:space="preserve"> (wśród 314 </w:t>
      </w:r>
      <w:proofErr w:type="spellStart"/>
      <w:r w:rsidR="00D23C0B">
        <w:t>powiatów</w:t>
      </w:r>
      <w:proofErr w:type="spellEnd"/>
      <w:r w:rsidR="00D23C0B">
        <w:t>)</w:t>
      </w:r>
      <w:r w:rsidR="001314E5">
        <w:t>;</w:t>
      </w:r>
    </w:p>
    <w:p w:rsidR="008B3E14" w:rsidRDefault="008B3E14" w:rsidP="008B3E14">
      <w:pPr>
        <w:pStyle w:val="Akapitzlist"/>
        <w:numPr>
          <w:ilvl w:val="0"/>
          <w:numId w:val="13"/>
        </w:numPr>
      </w:pPr>
      <w:r>
        <w:t xml:space="preserve">na terenie powiatu świdwińskiego nie </w:t>
      </w:r>
      <w:r w:rsidR="001314E5">
        <w:t>funkcjonują programy profilaktyki w chorobach układu trawiennego, inne niż ogólnopolskie programy profilaktyki CRC;</w:t>
      </w:r>
    </w:p>
    <w:p w:rsidR="001314E5" w:rsidRDefault="001314E5" w:rsidP="008B3E14">
      <w:pPr>
        <w:pStyle w:val="Akapitzlist"/>
        <w:numPr>
          <w:ilvl w:val="0"/>
          <w:numId w:val="13"/>
        </w:numPr>
      </w:pPr>
      <w:r>
        <w:t>na terenie powiatu świdwińskiego nie funkcjonują programy profilaktyki w chorobach układu trawiennego skierowane do dzieci i młodzieży;</w:t>
      </w:r>
    </w:p>
    <w:p w:rsidR="001314E5" w:rsidRDefault="001314E5" w:rsidP="008B3E14">
      <w:pPr>
        <w:pStyle w:val="Akapitzlist"/>
        <w:numPr>
          <w:ilvl w:val="0"/>
          <w:numId w:val="13"/>
        </w:numPr>
      </w:pPr>
      <w:r>
        <w:t>w ostatnim dziesięcioleciu nastąpił prawie dwukrotny wzrost liczby zgonów na choroby układu trawiennego w populacji powiatu świdwińskiego;</w:t>
      </w:r>
    </w:p>
    <w:p w:rsidR="00191259" w:rsidRDefault="00191259" w:rsidP="00191259">
      <w:pPr>
        <w:pStyle w:val="Akapitzlist"/>
        <w:numPr>
          <w:ilvl w:val="0"/>
          <w:numId w:val="13"/>
        </w:numPr>
      </w:pPr>
      <w:r>
        <w:t xml:space="preserve">w ocenie UNDP w 2012 r. Powiat Świdwiński plasuje się na 54. miejscu pod względem </w:t>
      </w:r>
      <w:r w:rsidR="00C06B72">
        <w:t>p</w:t>
      </w:r>
      <w:r w:rsidR="00A33329">
        <w:t>oziomu rozwoju społecznego – bardzo niski wskaźnik LHDI</w:t>
      </w:r>
      <w:r w:rsidR="000B0697">
        <w:t>, tj. 34,39</w:t>
      </w:r>
      <w:r>
        <w:t>;</w:t>
      </w:r>
    </w:p>
    <w:p w:rsidR="00A33329" w:rsidRDefault="000B0697" w:rsidP="000B0697">
      <w:pPr>
        <w:pStyle w:val="Akapitzlist"/>
        <w:numPr>
          <w:ilvl w:val="0"/>
          <w:numId w:val="13"/>
        </w:numPr>
      </w:pPr>
      <w:r>
        <w:t>w</w:t>
      </w:r>
      <w:r w:rsidR="00A33329">
        <w:t>skaźnik zdrowia</w:t>
      </w:r>
      <w:r>
        <w:t xml:space="preserve"> (HI)</w:t>
      </w:r>
      <w:r w:rsidR="00A33329">
        <w:t xml:space="preserve"> dla powiatu wyniósł 45,55, </w:t>
      </w:r>
      <w:r>
        <w:t xml:space="preserve">natomiast </w:t>
      </w:r>
      <w:r w:rsidR="00A33329">
        <w:t>wskaźnik nakładów zdrowotnych (HI</w:t>
      </w:r>
      <w:r w:rsidR="00A33329" w:rsidRPr="0045406D">
        <w:rPr>
          <w:vertAlign w:val="subscript"/>
        </w:rPr>
        <w:t>PI</w:t>
      </w:r>
      <w:r w:rsidR="00A33329">
        <w:t xml:space="preserve">)19,32, </w:t>
      </w:r>
      <w:r>
        <w:t xml:space="preserve">oba współczynniki były niższe niż dla województwa, co </w:t>
      </w:r>
      <w:r w:rsidR="00A33329">
        <w:t>wskazuje na istotne dysproporcje pomiędzy potrzebami zdrowotnymi mie</w:t>
      </w:r>
      <w:r>
        <w:t>szkańców, a dostępnymi zasobami;</w:t>
      </w:r>
    </w:p>
    <w:p w:rsidR="00191259" w:rsidRDefault="00191259" w:rsidP="008B3E14">
      <w:pPr>
        <w:pStyle w:val="Akapitzlist"/>
        <w:numPr>
          <w:ilvl w:val="0"/>
          <w:numId w:val="13"/>
        </w:numPr>
      </w:pPr>
      <w:r>
        <w:t>w populacji 5-18 zidentyfikowano wzrastający problem w kierunku zaburzeń metabolicznych, w tym cukrzycy oraz w zakresie prawidłowej wagi ciała;</w:t>
      </w:r>
    </w:p>
    <w:p w:rsidR="00D86207" w:rsidRDefault="00D86207" w:rsidP="00D86207">
      <w:pPr>
        <w:pStyle w:val="Akapitzlist"/>
        <w:numPr>
          <w:ilvl w:val="0"/>
          <w:numId w:val="13"/>
        </w:numPr>
      </w:pPr>
      <w:r>
        <w:t>w populacji 5-18 zidentyfikowano wzrastający poziom absencji na zajęciach wychowania fizycznego, w t</w:t>
      </w:r>
      <w:r w:rsidR="001F0D93">
        <w:t>ym rocznych zwolnień lekarskich.</w:t>
      </w:r>
    </w:p>
    <w:p w:rsidR="009C2040" w:rsidRDefault="009C2040" w:rsidP="00243CB3">
      <w:pPr>
        <w:ind w:firstLine="720"/>
      </w:pPr>
      <w:r>
        <w:lastRenderedPageBreak/>
        <w:t xml:space="preserve">Celem nadrzędnym projektu, korespondującym z celem </w:t>
      </w:r>
      <w:r w:rsidRPr="00CE24D3">
        <w:t>Programu PL13 Ograniczanie społecznych nierówności w zdrowiu</w:t>
      </w:r>
      <w:r>
        <w:t>, jest poprawa</w:t>
      </w:r>
      <w:r w:rsidRPr="00CE24D3">
        <w:t xml:space="preserve"> zd</w:t>
      </w:r>
      <w:r>
        <w:t>rowia publicznego i ograniczenie</w:t>
      </w:r>
      <w:r w:rsidRPr="00CE24D3">
        <w:t xml:space="preserve"> sp</w:t>
      </w:r>
      <w:r>
        <w:t xml:space="preserve">ołecznych nierówności w zdrowiu na obszarze powiatu </w:t>
      </w:r>
      <w:r w:rsidR="00DC7C84">
        <w:t>świdwińskiego</w:t>
      </w:r>
      <w:r>
        <w:t xml:space="preserve">. Celem głównym projektu jest zmniejszanie zachorowalności na choroby związane ze stylem życia na obszarze powiatu </w:t>
      </w:r>
      <w:r w:rsidR="00DC7C84">
        <w:t>świdwińskiego</w:t>
      </w:r>
      <w:r>
        <w:t xml:space="preserve">. Identyfikacja potrzeb wskazała, że w sposób szczególny w budowaniu kompleksowych programów profilaktycznych na obszarze funkcjonalnym projektu, należy uwzględnić działania zmierzające do zmniejszenia zachorowalności na </w:t>
      </w:r>
      <w:r w:rsidR="00DC7C84">
        <w:t>choroby układu trawiennego, w tym przewlekłe choroby wątroby</w:t>
      </w:r>
      <w:r>
        <w:t>. Do celów szczegółowych projektu zaliczono:</w:t>
      </w:r>
    </w:p>
    <w:p w:rsidR="009C2040" w:rsidRDefault="009C2040" w:rsidP="00DC7C84">
      <w:pPr>
        <w:pStyle w:val="Akapitzlist"/>
        <w:numPr>
          <w:ilvl w:val="0"/>
          <w:numId w:val="1"/>
        </w:numPr>
      </w:pPr>
      <w:r>
        <w:t xml:space="preserve">wdrożenie programu promocji zdrowia skutkującego zmniejszeniem zachorowalności na </w:t>
      </w:r>
      <w:r w:rsidR="00DC7C84" w:rsidRPr="00DC7C84">
        <w:t xml:space="preserve">choroby układu trawiennego, w tym </w:t>
      </w:r>
      <w:r w:rsidR="003722C1">
        <w:t xml:space="preserve">przede </w:t>
      </w:r>
      <w:proofErr w:type="spellStart"/>
      <w:r w:rsidR="003722C1">
        <w:t>wszystkim</w:t>
      </w:r>
      <w:r>
        <w:t>poprzez</w:t>
      </w:r>
      <w:proofErr w:type="spellEnd"/>
      <w:r>
        <w:t>:</w:t>
      </w:r>
    </w:p>
    <w:p w:rsidR="009C2040" w:rsidRDefault="00F13DEC" w:rsidP="009C2040">
      <w:pPr>
        <w:pStyle w:val="Akapitzlist"/>
        <w:numPr>
          <w:ilvl w:val="1"/>
          <w:numId w:val="1"/>
        </w:numPr>
      </w:pPr>
      <w:r>
        <w:t>promocję</w:t>
      </w:r>
      <w:r w:rsidR="009C2040">
        <w:t xml:space="preserve"> zdrowych i zmiany dotychczasowych nawyków żywieniowych</w:t>
      </w:r>
      <w:r>
        <w:t xml:space="preserve"> w populacji powiatu świdwińskiego</w:t>
      </w:r>
      <w:r w:rsidR="009C2040">
        <w:t>;</w:t>
      </w:r>
    </w:p>
    <w:p w:rsidR="009C2040" w:rsidRDefault="009C2040" w:rsidP="009C2040">
      <w:pPr>
        <w:pStyle w:val="Akapitzlist"/>
        <w:numPr>
          <w:ilvl w:val="1"/>
          <w:numId w:val="1"/>
        </w:numPr>
      </w:pPr>
      <w:r>
        <w:t xml:space="preserve">promocji aktywności fizycznej; </w:t>
      </w:r>
    </w:p>
    <w:p w:rsidR="009C2040" w:rsidRDefault="009C2040" w:rsidP="009C2040">
      <w:pPr>
        <w:pStyle w:val="Akapitzlist"/>
        <w:numPr>
          <w:ilvl w:val="1"/>
          <w:numId w:val="1"/>
        </w:numPr>
      </w:pPr>
      <w:r>
        <w:t xml:space="preserve">podnoszenia świadomości w zakresie znaczenia badań profilaktycznych.  </w:t>
      </w:r>
    </w:p>
    <w:p w:rsidR="005A3AB1" w:rsidRDefault="009C2040" w:rsidP="005A3AB1">
      <w:pPr>
        <w:pStyle w:val="Akapitzlist"/>
        <w:numPr>
          <w:ilvl w:val="0"/>
          <w:numId w:val="1"/>
        </w:numPr>
      </w:pPr>
      <w:r>
        <w:t xml:space="preserve">wdrożenie programu profilaktyki </w:t>
      </w:r>
      <w:r w:rsidR="00DC7C84">
        <w:t>chorób</w:t>
      </w:r>
      <w:r w:rsidR="00DC7C84" w:rsidRPr="00DC7C84">
        <w:t xml:space="preserve"> ukła</w:t>
      </w:r>
      <w:r w:rsidR="00F13DEC">
        <w:t>du trawiennego w populacjach</w:t>
      </w:r>
    </w:p>
    <w:p w:rsidR="00F13DEC" w:rsidRDefault="00F13DEC" w:rsidP="00F13DEC">
      <w:pPr>
        <w:pStyle w:val="Akapitzlist"/>
        <w:numPr>
          <w:ilvl w:val="1"/>
          <w:numId w:val="1"/>
        </w:numPr>
      </w:pPr>
      <w:r>
        <w:t>dzieci i młodzieży w obszarze procesu wchłaniania i alergii pokarmowych,</w:t>
      </w:r>
    </w:p>
    <w:p w:rsidR="00F13DEC" w:rsidRDefault="00F13DEC" w:rsidP="00F13DEC">
      <w:pPr>
        <w:pStyle w:val="Akapitzlist"/>
        <w:numPr>
          <w:ilvl w:val="1"/>
          <w:numId w:val="1"/>
        </w:numPr>
      </w:pPr>
      <w:r>
        <w:t xml:space="preserve">osób między </w:t>
      </w:r>
      <w:r w:rsidR="004F6030">
        <w:t>18</w:t>
      </w:r>
      <w:r>
        <w:t xml:space="preserve">. a 70. </w:t>
      </w:r>
      <w:proofErr w:type="spellStart"/>
      <w:r>
        <w:t>r.ż</w:t>
      </w:r>
      <w:proofErr w:type="spellEnd"/>
      <w:r>
        <w:t>. w obszarze chorób narządów miękkich układu trawiennego i jelita grubego.</w:t>
      </w:r>
    </w:p>
    <w:p w:rsidR="00F13DEC" w:rsidRDefault="00F13DEC" w:rsidP="00B776B5"/>
    <w:p w:rsidR="00B776B5" w:rsidRDefault="00B776B5" w:rsidP="00B776B5"/>
    <w:p w:rsidR="009C2040" w:rsidRPr="00570C96" w:rsidRDefault="009C2040" w:rsidP="00B776B5">
      <w:pPr>
        <w:spacing w:after="240" w:line="240" w:lineRule="auto"/>
        <w:rPr>
          <w:sz w:val="20"/>
        </w:rPr>
      </w:pPr>
      <w:bookmarkStart w:id="32" w:name="_GoBack"/>
      <w:bookmarkEnd w:id="32"/>
    </w:p>
    <w:sectPr w:rsidR="009C2040" w:rsidRPr="00570C96" w:rsidSect="00BB2F68">
      <w:headerReference w:type="default" r:id="rId29"/>
      <w:footerReference w:type="default" r:id="rId30"/>
      <w:pgSz w:w="12240" w:h="15840"/>
      <w:pgMar w:top="1418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EDE" w:rsidRDefault="00814EDE" w:rsidP="00225B46">
      <w:pPr>
        <w:spacing w:line="240" w:lineRule="auto"/>
      </w:pPr>
      <w:r>
        <w:separator/>
      </w:r>
    </w:p>
  </w:endnote>
  <w:endnote w:type="continuationSeparator" w:id="0">
    <w:p w:rsidR="00814EDE" w:rsidRDefault="00814EDE" w:rsidP="00225B4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273347"/>
      <w:docPartObj>
        <w:docPartGallery w:val="Page Numbers (Bottom of Page)"/>
        <w:docPartUnique/>
      </w:docPartObj>
    </w:sdtPr>
    <w:sdtContent>
      <w:p w:rsidR="00C06B72" w:rsidRDefault="00967BA4">
        <w:pPr>
          <w:pStyle w:val="Stopka"/>
          <w:jc w:val="right"/>
        </w:pPr>
        <w:r>
          <w:fldChar w:fldCharType="begin"/>
        </w:r>
        <w:r w:rsidR="00C06B72">
          <w:instrText>PAGE   \* MERGEFORMAT</w:instrText>
        </w:r>
        <w:r>
          <w:fldChar w:fldCharType="separate"/>
        </w:r>
        <w:r w:rsidR="002A120D">
          <w:rPr>
            <w:noProof/>
          </w:rPr>
          <w:t>1</w:t>
        </w:r>
        <w:r>
          <w:fldChar w:fldCharType="end"/>
        </w:r>
      </w:p>
    </w:sdtContent>
  </w:sdt>
  <w:p w:rsidR="002F2673" w:rsidRPr="00BD13E7" w:rsidRDefault="002F2673" w:rsidP="002F2673">
    <w:pPr>
      <w:pStyle w:val="Stopka"/>
      <w:spacing w:before="120"/>
      <w:rPr>
        <w:rFonts w:ascii="Cambria" w:hAnsi="Cambria"/>
        <w:b/>
        <w:sz w:val="19"/>
        <w:szCs w:val="19"/>
      </w:rPr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5190490</wp:posOffset>
          </wp:positionH>
          <wp:positionV relativeFrom="paragraph">
            <wp:posOffset>94615</wp:posOffset>
          </wp:positionV>
          <wp:extent cx="520065" cy="666750"/>
          <wp:effectExtent l="19050" t="0" r="0" b="0"/>
          <wp:wrapNone/>
          <wp:docPr id="8" name="Obraz 27" descr="C:\Users\Agata\Documents\Herb Powiatu Świdwińskie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 descr="C:\Users\Agata\Documents\Herb Powiatu Świdwińskie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06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67BA4" w:rsidRPr="00967BA4">
      <w:rPr>
        <w:rFonts w:ascii="Cambria" w:hAnsi="Cambria" w:cs="Arial"/>
        <w:noProof/>
        <w:sz w:val="18"/>
      </w:rPr>
      <w:pict>
        <v:line id="Łącznik prostoliniowy 23" o:spid="_x0000_s2050" style="position:absolute;left:0;text-align:left;z-index:251664384;visibility:visible;mso-position-horizontal-relative:text;mso-position-vertical-relative:text;mso-width-relative:margin;mso-height-relative:margin" from="-.35pt,1.85pt" to="449.6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" strokecolor="#4579b8"/>
      </w:pict>
    </w:r>
    <w:r w:rsidRPr="00BD13E7">
      <w:rPr>
        <w:rFonts w:ascii="Cambria" w:hAnsi="Cambria"/>
        <w:sz w:val="19"/>
        <w:szCs w:val="19"/>
      </w:rPr>
      <w:t xml:space="preserve">Biuro projektu: </w:t>
    </w:r>
  </w:p>
  <w:p w:rsidR="002F2673" w:rsidRPr="00BD13E7" w:rsidRDefault="002F2673" w:rsidP="002F2673">
    <w:pPr>
      <w:pStyle w:val="Stopka"/>
      <w:rPr>
        <w:rFonts w:ascii="Cambria" w:hAnsi="Cambria"/>
        <w:sz w:val="19"/>
        <w:szCs w:val="19"/>
      </w:rPr>
    </w:pPr>
    <w:r w:rsidRPr="00BD13E7">
      <w:rPr>
        <w:rFonts w:ascii="Cambria" w:hAnsi="Cambria"/>
        <w:sz w:val="19"/>
        <w:szCs w:val="19"/>
      </w:rPr>
      <w:t>Starostwo Powiatowe w Świdwinie</w:t>
    </w:r>
  </w:p>
  <w:p w:rsidR="002F2673" w:rsidRPr="00BD13E7" w:rsidRDefault="002F2673" w:rsidP="002F2673">
    <w:pPr>
      <w:pStyle w:val="Stopka"/>
      <w:rPr>
        <w:rFonts w:ascii="Cambria" w:hAnsi="Cambria"/>
        <w:sz w:val="19"/>
        <w:szCs w:val="19"/>
      </w:rPr>
    </w:pPr>
    <w:r w:rsidRPr="00BD13E7">
      <w:rPr>
        <w:rFonts w:ascii="Cambria" w:hAnsi="Cambria"/>
        <w:sz w:val="19"/>
        <w:szCs w:val="19"/>
      </w:rPr>
      <w:t>ul.</w:t>
    </w:r>
    <w:r>
      <w:rPr>
        <w:rFonts w:ascii="Cambria" w:hAnsi="Cambria"/>
        <w:sz w:val="19"/>
        <w:szCs w:val="19"/>
      </w:rPr>
      <w:t xml:space="preserve"> Mieszka I 16, </w:t>
    </w:r>
    <w:r w:rsidRPr="00BD13E7">
      <w:rPr>
        <w:rFonts w:ascii="Cambria" w:hAnsi="Cambria"/>
        <w:sz w:val="19"/>
        <w:szCs w:val="19"/>
      </w:rPr>
      <w:t>78-300 Świdwin</w:t>
    </w:r>
  </w:p>
  <w:p w:rsidR="002F2673" w:rsidRPr="00BD13E7" w:rsidRDefault="002F2673" w:rsidP="002F2673">
    <w:pPr>
      <w:pStyle w:val="Stopka"/>
      <w:rPr>
        <w:rFonts w:ascii="Cambria" w:hAnsi="Cambria"/>
        <w:b/>
        <w:sz w:val="19"/>
        <w:szCs w:val="19"/>
      </w:rPr>
    </w:pPr>
    <w:r w:rsidRPr="00BD13E7">
      <w:rPr>
        <w:rFonts w:ascii="Cambria" w:hAnsi="Cambria"/>
        <w:sz w:val="19"/>
        <w:szCs w:val="19"/>
      </w:rPr>
      <w:t>tel. 94 36 50 347, faks 94 36 50</w:t>
    </w:r>
    <w:r>
      <w:rPr>
        <w:rFonts w:ascii="Cambria" w:hAnsi="Cambria"/>
        <w:sz w:val="19"/>
        <w:szCs w:val="19"/>
      </w:rPr>
      <w:t> </w:t>
    </w:r>
    <w:r w:rsidRPr="00BD13E7">
      <w:rPr>
        <w:rFonts w:ascii="Cambria" w:hAnsi="Cambria"/>
        <w:sz w:val="19"/>
        <w:szCs w:val="19"/>
      </w:rPr>
      <w:t>330</w:t>
    </w:r>
  </w:p>
  <w:p w:rsidR="00C06B72" w:rsidRPr="002F2673" w:rsidRDefault="002F2673">
    <w:pPr>
      <w:pStyle w:val="Stopka"/>
      <w:rPr>
        <w:rFonts w:ascii="Cambria" w:hAnsi="Cambria"/>
        <w:sz w:val="19"/>
        <w:szCs w:val="19"/>
      </w:rPr>
    </w:pPr>
    <w:r w:rsidRPr="00BD13E7">
      <w:rPr>
        <w:rFonts w:ascii="Cambria" w:hAnsi="Cambria"/>
        <w:sz w:val="19"/>
        <w:szCs w:val="19"/>
      </w:rPr>
      <w:t xml:space="preserve">e-mail: </w:t>
    </w:r>
    <w:r w:rsidRPr="00235C31">
      <w:rPr>
        <w:rFonts w:ascii="Cambria" w:hAnsi="Cambria"/>
        <w:sz w:val="19"/>
        <w:szCs w:val="19"/>
      </w:rPr>
      <w:t>eogswidwin@gmail.com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EDE" w:rsidRDefault="00814EDE" w:rsidP="00225B46">
      <w:pPr>
        <w:spacing w:line="240" w:lineRule="auto"/>
      </w:pPr>
      <w:r>
        <w:separator/>
      </w:r>
    </w:p>
  </w:footnote>
  <w:footnote w:type="continuationSeparator" w:id="0">
    <w:p w:rsidR="00814EDE" w:rsidRDefault="00814EDE" w:rsidP="00225B46">
      <w:pPr>
        <w:spacing w:line="240" w:lineRule="auto"/>
      </w:pPr>
      <w:r>
        <w:continuationSeparator/>
      </w:r>
    </w:p>
  </w:footnote>
  <w:footnote w:id="1">
    <w:p w:rsidR="00F86FC2" w:rsidRDefault="00F86FC2">
      <w:pPr>
        <w:pStyle w:val="Tekstprzypisudolnego"/>
      </w:pPr>
      <w:r>
        <w:rPr>
          <w:rStyle w:val="Odwoanieprzypisudolnego"/>
        </w:rPr>
        <w:footnoteRef/>
      </w:r>
      <w:r>
        <w:t xml:space="preserve"> R. Topór-Mądry, A. </w:t>
      </w:r>
      <w:proofErr w:type="spellStart"/>
      <w:r>
        <w:t>Gilis-Januszewska</w:t>
      </w:r>
      <w:proofErr w:type="spellEnd"/>
      <w:r>
        <w:t xml:space="preserve">, J. Kurkiewicz, A. Pająk, </w:t>
      </w:r>
      <w:r w:rsidRPr="00F86FC2">
        <w:rPr>
          <w:i/>
        </w:rPr>
        <w:t>Narzędzie oceny i analizy priorytetów zdrowotnych w sektorze ochrony zdrowia. Szacowanie potrzeb zdrowotnych</w:t>
      </w:r>
      <w:r>
        <w:t xml:space="preserve">, Uniwersyteckie Wydawnictwo Medyczne </w:t>
      </w:r>
      <w:proofErr w:type="spellStart"/>
      <w:r>
        <w:t>Vesalius</w:t>
      </w:r>
      <w:proofErr w:type="spellEnd"/>
      <w:r>
        <w:t xml:space="preserve">, Kraków 2002. </w:t>
      </w:r>
    </w:p>
  </w:footnote>
  <w:footnote w:id="2">
    <w:p w:rsidR="00FC7F87" w:rsidRDefault="00FC7F87" w:rsidP="00225B46">
      <w:pPr>
        <w:spacing w:line="240" w:lineRule="auto"/>
        <w:jc w:val="left"/>
      </w:pPr>
      <w:r>
        <w:rPr>
          <w:rStyle w:val="Odwoanieprzypisudolnego"/>
        </w:rPr>
        <w:footnoteRef/>
      </w:r>
      <w:r>
        <w:t xml:space="preserve"> PYLL – potencjalnie utracone lata życia (ang. </w:t>
      </w:r>
      <w:proofErr w:type="spellStart"/>
      <w:r w:rsidRPr="00A0272E">
        <w:rPr>
          <w:i/>
        </w:rPr>
        <w:t>potentialyears</w:t>
      </w:r>
      <w:proofErr w:type="spellEnd"/>
      <w:r w:rsidRPr="00A0272E">
        <w:rPr>
          <w:i/>
        </w:rPr>
        <w:t xml:space="preserve"> of life </w:t>
      </w:r>
      <w:proofErr w:type="spellStart"/>
      <w:r w:rsidRPr="00A0272E">
        <w:rPr>
          <w:i/>
        </w:rPr>
        <w:t>lost</w:t>
      </w:r>
      <w:proofErr w:type="spellEnd"/>
      <w:r>
        <w:t>). Wskaźnik informujący o wpływie ogólnej liczby zgonów na daną populację.</w:t>
      </w:r>
    </w:p>
    <w:p w:rsidR="00FC7F87" w:rsidRDefault="00FC7F87" w:rsidP="00225B46">
      <w:pPr>
        <w:spacing w:line="240" w:lineRule="auto"/>
        <w:jc w:val="left"/>
      </w:pPr>
    </w:p>
  </w:footnote>
  <w:footnote w:id="3">
    <w:p w:rsidR="00FC7F87" w:rsidRDefault="00FC7F87" w:rsidP="00CF48DF">
      <w:pPr>
        <w:pStyle w:val="Tekstprzypisudolnego"/>
        <w:jc w:val="left"/>
      </w:pPr>
      <w:r>
        <w:rPr>
          <w:rStyle w:val="Odwoanieprzypisudolnego"/>
        </w:rPr>
        <w:footnoteRef/>
      </w:r>
      <w:r w:rsidRPr="00BD10C5">
        <w:rPr>
          <w:i/>
        </w:rPr>
        <w:t>Ludność według płci</w:t>
      </w:r>
      <w:r w:rsidRPr="00BD10C5">
        <w:t>, Główny Urząd St</w:t>
      </w:r>
      <w:r>
        <w:t xml:space="preserve">atystyczny, </w:t>
      </w:r>
      <w:hyperlink r:id="rId1" w:history="1">
        <w:r w:rsidRPr="004A34E8">
          <w:rPr>
            <w:rStyle w:val="Hipercze"/>
          </w:rPr>
          <w:t>http://stat.gov.pl/</w:t>
        </w:r>
      </w:hyperlink>
      <w:r>
        <w:t>.</w:t>
      </w:r>
    </w:p>
  </w:footnote>
  <w:footnote w:id="4">
    <w:p w:rsidR="00FC7F87" w:rsidRPr="00867323" w:rsidRDefault="00FC7F87" w:rsidP="00CF48DF">
      <w:pPr>
        <w:pStyle w:val="Tekstprzypisudolnego"/>
        <w:jc w:val="left"/>
      </w:pPr>
      <w:r>
        <w:rPr>
          <w:rStyle w:val="Odwoanieprzypisudolnego"/>
        </w:rPr>
        <w:footnoteRef/>
      </w:r>
      <w:r w:rsidRPr="00867323">
        <w:t xml:space="preserve"> Tamże.</w:t>
      </w:r>
    </w:p>
  </w:footnote>
  <w:footnote w:id="5">
    <w:p w:rsidR="0045406D" w:rsidRDefault="0045406D" w:rsidP="0045406D">
      <w:pPr>
        <w:pStyle w:val="Tekstprzypisudolnego"/>
      </w:pPr>
      <w:r>
        <w:rPr>
          <w:rStyle w:val="Odwoanieprzypisudolnego"/>
        </w:rPr>
        <w:footnoteRef/>
      </w:r>
      <w:r>
        <w:t xml:space="preserve"> United </w:t>
      </w:r>
      <w:proofErr w:type="spellStart"/>
      <w:r>
        <w:t>Nations</w:t>
      </w:r>
      <w:proofErr w:type="spellEnd"/>
      <w:r>
        <w:t xml:space="preserve"> Development </w:t>
      </w:r>
      <w:proofErr w:type="spellStart"/>
      <w:r>
        <w:t>Programme</w:t>
      </w:r>
      <w:proofErr w:type="spellEnd"/>
      <w:r>
        <w:t xml:space="preserve">; </w:t>
      </w:r>
      <w:r w:rsidRPr="0045406D">
        <w:rPr>
          <w:i/>
        </w:rPr>
        <w:t>Krajowy Raport o Rozwoju Społecznym Polska 2012 Rozwój regionalny i lokalny</w:t>
      </w:r>
      <w:r>
        <w:t>; Biuro Projektowe UNDP w Polsce; Warszawa 2012</w:t>
      </w:r>
    </w:p>
  </w:footnote>
  <w:footnote w:id="6">
    <w:p w:rsidR="00FC7F87" w:rsidRDefault="00FC7F87">
      <w:pPr>
        <w:pStyle w:val="Tekstprzypisudolnego"/>
      </w:pPr>
      <w:r>
        <w:rPr>
          <w:rStyle w:val="Odwoanieprzypisudolnego"/>
        </w:rPr>
        <w:footnoteRef/>
      </w:r>
      <w:r w:rsidRPr="00A22D18">
        <w:rPr>
          <w:i/>
        </w:rPr>
        <w:t>Narodowy Spis Powszechny 2011 – mieszkania</w:t>
      </w:r>
      <w:r>
        <w:t xml:space="preserve">, Główny Urząd Statystyczny, </w:t>
      </w:r>
      <w:hyperlink r:id="rId2" w:history="1">
        <w:r w:rsidRPr="004C6FE0">
          <w:rPr>
            <w:rStyle w:val="Hipercze"/>
          </w:rPr>
          <w:t>www.http://stat.gov.pl</w:t>
        </w:r>
      </w:hyperlink>
      <w:r>
        <w:t>.</w:t>
      </w:r>
    </w:p>
  </w:footnote>
  <w:footnote w:id="7">
    <w:p w:rsidR="00F9468E" w:rsidRDefault="00F9468E">
      <w:pPr>
        <w:pStyle w:val="Tekstprzypisudolnego"/>
      </w:pPr>
      <w:r>
        <w:rPr>
          <w:rStyle w:val="Odwoanieprzypisudolnego"/>
        </w:rPr>
        <w:footnoteRef/>
      </w:r>
      <w:r>
        <w:t xml:space="preserve"> Informator statystyczny ochrony zdrowia województwa zachodniopomorskiego za 2012 rok,Zachodniopomr</w:t>
      </w:r>
      <w:hyperlink r:id="rId3" w:history="1">
        <w:r w:rsidRPr="00CF289E">
          <w:rPr>
            <w:rStyle w:val="Hipercze"/>
          </w:rPr>
          <w:t>http://www.szczecin.uw.gov.pl/?type=article&amp;action=view&amp;id=4037</w:t>
        </w:r>
      </w:hyperlink>
      <w:r>
        <w:t>.</w:t>
      </w:r>
    </w:p>
  </w:footnote>
  <w:footnote w:id="8">
    <w:p w:rsidR="00FC7F87" w:rsidRDefault="00FC7F87" w:rsidP="003E29DA">
      <w:pPr>
        <w:pStyle w:val="Tekstprzypisudolnego"/>
        <w:jc w:val="left"/>
      </w:pPr>
      <w:r>
        <w:rPr>
          <w:rStyle w:val="Odwoanieprzypisudolnego"/>
        </w:rPr>
        <w:footnoteRef/>
      </w:r>
      <w:r w:rsidR="00F9468E">
        <w:t>Tamże</w:t>
      </w:r>
      <w:r>
        <w:t>.</w:t>
      </w:r>
    </w:p>
  </w:footnote>
  <w:footnote w:id="9">
    <w:p w:rsidR="00FC7F87" w:rsidRDefault="00FC7F87" w:rsidP="008479F9">
      <w:pPr>
        <w:pStyle w:val="Tekstprzypisudolnego"/>
        <w:jc w:val="left"/>
      </w:pPr>
      <w:r>
        <w:rPr>
          <w:rStyle w:val="Odwoanieprzypisudolnego"/>
        </w:rPr>
        <w:footnoteRef/>
      </w:r>
      <w:r>
        <w:t xml:space="preserve"> Informator statystyczny ochrony zdrowia województwa zachodniopomorskiego za 2012 rok,Zachodniopomr</w:t>
      </w:r>
      <w:hyperlink r:id="rId4" w:history="1">
        <w:r w:rsidRPr="00CF289E">
          <w:rPr>
            <w:rStyle w:val="Hipercze"/>
          </w:rPr>
          <w:t>http://www.szczecin.uw.gov.pl/?type=article&amp;action=view&amp;id=4037</w:t>
        </w:r>
      </w:hyperlink>
      <w:r>
        <w:t>.</w:t>
      </w:r>
    </w:p>
  </w:footnote>
  <w:footnote w:id="10">
    <w:p w:rsidR="0045693D" w:rsidRDefault="0045693D" w:rsidP="0045693D">
      <w:pPr>
        <w:pStyle w:val="Tekstprzypisudolnego"/>
        <w:jc w:val="left"/>
      </w:pPr>
      <w:r>
        <w:rPr>
          <w:rStyle w:val="Odwoanieprzypisudolnego"/>
        </w:rPr>
        <w:footnoteRef/>
      </w:r>
      <w:r>
        <w:t xml:space="preserve"> H. </w:t>
      </w:r>
      <w:r w:rsidRPr="0045693D">
        <w:t>Głowacka</w:t>
      </w:r>
      <w:r>
        <w:t xml:space="preserve">, </w:t>
      </w:r>
      <w:r w:rsidRPr="0045693D">
        <w:t>Wybrane zagadnienia z  zakresu chorób zakaźnych</w:t>
      </w:r>
      <w:r>
        <w:t xml:space="preserve">, </w:t>
      </w:r>
      <w:r w:rsidRPr="0045693D">
        <w:t>Państwowy Powiatowy Inspektorat Sanitarny w Świdwinie</w:t>
      </w:r>
      <w:r>
        <w:t>,</w:t>
      </w:r>
      <w:r w:rsidRPr="0045693D">
        <w:t xml:space="preserve"> Świdwin 28 kwietnia 2014</w:t>
      </w:r>
      <w:r>
        <w:t>.</w:t>
      </w:r>
    </w:p>
  </w:footnote>
  <w:footnote w:id="11">
    <w:p w:rsidR="00FC7F87" w:rsidRDefault="00FC7F87" w:rsidP="00CB008F">
      <w:pPr>
        <w:pStyle w:val="Tekstprzypisudolnego"/>
        <w:jc w:val="left"/>
      </w:pPr>
      <w:r>
        <w:rPr>
          <w:rStyle w:val="Odwoanieprzypisudolnego"/>
        </w:rPr>
        <w:footnoteRef/>
      </w:r>
      <w:r w:rsidRPr="00DE06A5">
        <w:t>P</w:t>
      </w:r>
      <w:r>
        <w:t xml:space="preserve">. </w:t>
      </w:r>
      <w:proofErr w:type="spellStart"/>
      <w:r w:rsidRPr="00DE06A5">
        <w:t>Krasnodębski</w:t>
      </w:r>
      <w:proofErr w:type="spellEnd"/>
      <w:r>
        <w:t xml:space="preserve"> i inni, </w:t>
      </w:r>
      <w:r w:rsidRPr="00DE06A5">
        <w:rPr>
          <w:i/>
        </w:rPr>
        <w:t>Analiza czynników ryzyka występowania stanów nowotworowych jelita grubego u chorych na cukrzycę typu 2</w:t>
      </w:r>
      <w:r>
        <w:t xml:space="preserve">, </w:t>
      </w:r>
      <w:r w:rsidRPr="00DE06A5">
        <w:t>Katedra i Klinika Gastroenterologii i Chorób Przemiany Materii Warszawskiego Uniwersytetu Medycznego</w:t>
      </w:r>
      <w:r>
        <w:t xml:space="preserve">, Warszawa 2010, s. 34-40, </w:t>
      </w:r>
      <w:hyperlink r:id="rId5" w:history="1">
        <w:r w:rsidRPr="00012886">
          <w:rPr>
            <w:rStyle w:val="Hipercze"/>
          </w:rPr>
          <w:t>www.ddk.viamedica.pl</w:t>
        </w:r>
      </w:hyperlink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FAD" w:rsidRDefault="00E17FAD" w:rsidP="00E17FA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-157480</wp:posOffset>
          </wp:positionH>
          <wp:positionV relativeFrom="paragraph">
            <wp:posOffset>-259715</wp:posOffset>
          </wp:positionV>
          <wp:extent cx="1143000" cy="1143000"/>
          <wp:effectExtent l="19050" t="0" r="0" b="0"/>
          <wp:wrapNone/>
          <wp:docPr id="9" name="Obraz 25" descr="C:\Users\Agata\Downloads\Norway+Grants+-+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 descr="C:\Users\Agata\Downloads\Norway+Grants+-+JP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17FAD" w:rsidRDefault="00E17FAD" w:rsidP="00E17FAD">
    <w:pPr>
      <w:pStyle w:val="Nagwek"/>
    </w:pPr>
  </w:p>
  <w:p w:rsidR="00E17FAD" w:rsidRPr="00BD13E7" w:rsidRDefault="00E17FAD" w:rsidP="00E17FAD">
    <w:pPr>
      <w:pStyle w:val="Nagwek"/>
      <w:rPr>
        <w:sz w:val="18"/>
        <w:szCs w:val="18"/>
      </w:rPr>
    </w:pPr>
  </w:p>
  <w:p w:rsidR="00E17FAD" w:rsidRDefault="00E17FAD" w:rsidP="00E17FAD">
    <w:pPr>
      <w:pStyle w:val="Nagwek"/>
      <w:rPr>
        <w:sz w:val="18"/>
        <w:szCs w:val="18"/>
      </w:rPr>
    </w:pPr>
  </w:p>
  <w:p w:rsidR="00E17FAD" w:rsidRPr="00BD13E7" w:rsidRDefault="00967BA4" w:rsidP="00E17FAD">
    <w:pPr>
      <w:pStyle w:val="Nagwek"/>
      <w:rPr>
        <w:sz w:val="18"/>
        <w:szCs w:val="18"/>
      </w:rPr>
    </w:pPr>
    <w:r w:rsidRPr="00967BA4">
      <w:rPr>
        <w:rFonts w:ascii="Cambria" w:hAnsi="Cambria" w:cs="Arial"/>
        <w:noProof/>
        <w:sz w:val="18"/>
        <w:szCs w:val="18"/>
      </w:rPr>
      <w:pict>
        <v:line id="Łącznik prostoliniowy 14" o:spid="_x0000_s2049" style="position:absolute;left:0;text-align:left;z-index:251660288;visibility:visible;mso-width-relative:margin;mso-height-relative:margin" from="-.35pt,5.4pt" to="449.6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" strokecolor="#4579b8"/>
      </w:pict>
    </w:r>
    <w:r w:rsidR="00E17FAD" w:rsidRPr="00BD13E7">
      <w:rPr>
        <w:sz w:val="18"/>
        <w:szCs w:val="18"/>
      </w:rPr>
      <w:tab/>
    </w:r>
  </w:p>
  <w:p w:rsidR="00E17FAD" w:rsidRPr="00003896" w:rsidRDefault="00E17FAD" w:rsidP="00E17FAD">
    <w:pPr>
      <w:rPr>
        <w:sz w:val="19"/>
        <w:szCs w:val="19"/>
      </w:rPr>
    </w:pPr>
    <w:r w:rsidRPr="00003896">
      <w:rPr>
        <w:rFonts w:ascii="Cambria" w:hAnsi="Cambria" w:cs="Arial"/>
        <w:sz w:val="19"/>
        <w:szCs w:val="19"/>
      </w:rPr>
      <w:t xml:space="preserve">Program Operacyjny PL13 – Ograniczenie społecznych nierówności w zdrowiu </w:t>
    </w:r>
  </w:p>
  <w:p w:rsidR="00E17FAD" w:rsidRPr="00003896" w:rsidRDefault="00E17FAD" w:rsidP="00E17FAD">
    <w:pPr>
      <w:rPr>
        <w:sz w:val="19"/>
        <w:szCs w:val="19"/>
      </w:rPr>
    </w:pPr>
    <w:r w:rsidRPr="00003896">
      <w:rPr>
        <w:rFonts w:ascii="Cambria" w:hAnsi="Cambria" w:cs="Arial"/>
        <w:bCs/>
        <w:sz w:val="19"/>
        <w:szCs w:val="19"/>
      </w:rPr>
      <w:t>Tytuł projektu: „Równe szanse w zdrowiu – program profilaktyki i promocji zdrowia w Powiecie Świdwińskim</w:t>
    </w:r>
    <w:r w:rsidRPr="00003896">
      <w:rPr>
        <w:rFonts w:ascii="Cambria" w:hAnsi="Cambria" w:cs="Arial"/>
        <w:sz w:val="19"/>
        <w:szCs w:val="19"/>
      </w:rPr>
      <w:t>”</w:t>
    </w:r>
  </w:p>
  <w:p w:rsidR="00E17FAD" w:rsidRPr="00003896" w:rsidRDefault="00E17FAD" w:rsidP="00E17FAD">
    <w:pPr>
      <w:ind w:right="-1134"/>
      <w:rPr>
        <w:rFonts w:ascii="Cambria" w:hAnsi="Cambria" w:cs="Arial"/>
        <w:bCs/>
        <w:sz w:val="19"/>
        <w:szCs w:val="19"/>
      </w:rPr>
    </w:pPr>
    <w:r w:rsidRPr="00003896">
      <w:rPr>
        <w:rFonts w:ascii="Cambria" w:hAnsi="Cambria" w:cs="Arial"/>
        <w:bCs/>
        <w:sz w:val="19"/>
        <w:szCs w:val="19"/>
      </w:rPr>
      <w:t>Numer umowy o dofinansowanie:</w:t>
    </w:r>
    <w:r>
      <w:rPr>
        <w:rFonts w:ascii="Cambria" w:hAnsi="Cambria" w:cs="Arial"/>
        <w:bCs/>
        <w:sz w:val="19"/>
        <w:szCs w:val="19"/>
      </w:rPr>
      <w:t xml:space="preserve"> </w:t>
    </w:r>
    <w:r w:rsidRPr="00003896">
      <w:rPr>
        <w:rFonts w:ascii="Cambria" w:hAnsi="Cambria" w:cs="Arial"/>
        <w:bCs/>
        <w:sz w:val="19"/>
        <w:szCs w:val="19"/>
      </w:rPr>
      <w:t>008/022/13/NMF/2015/00</w:t>
    </w:r>
  </w:p>
  <w:p w:rsidR="00C06B72" w:rsidRPr="00E17FAD" w:rsidRDefault="00E17FAD" w:rsidP="00E17FAD">
    <w:pPr>
      <w:ind w:right="-1134"/>
      <w:rPr>
        <w:rFonts w:ascii="Cambria" w:hAnsi="Cambria" w:cs="Arial"/>
        <w:bCs/>
        <w:sz w:val="19"/>
        <w:szCs w:val="19"/>
      </w:rPr>
    </w:pPr>
    <w:r w:rsidRPr="00003896">
      <w:rPr>
        <w:rFonts w:ascii="Cambria" w:hAnsi="Cambria" w:cs="Arial"/>
        <w:bCs/>
        <w:sz w:val="19"/>
        <w:szCs w:val="19"/>
      </w:rPr>
      <w:t>Beneficjent: Powiat Świdwiński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C4304"/>
    <w:multiLevelType w:val="hybridMultilevel"/>
    <w:tmpl w:val="6F5A5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62FE3"/>
    <w:multiLevelType w:val="hybridMultilevel"/>
    <w:tmpl w:val="3B5C9C0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188261ED"/>
    <w:multiLevelType w:val="hybridMultilevel"/>
    <w:tmpl w:val="1C008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F10912"/>
    <w:multiLevelType w:val="hybridMultilevel"/>
    <w:tmpl w:val="49662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5F146D"/>
    <w:multiLevelType w:val="hybridMultilevel"/>
    <w:tmpl w:val="838E8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781DE2"/>
    <w:multiLevelType w:val="hybridMultilevel"/>
    <w:tmpl w:val="3B128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C145F8"/>
    <w:multiLevelType w:val="hybridMultilevel"/>
    <w:tmpl w:val="192E4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A221B4"/>
    <w:multiLevelType w:val="hybridMultilevel"/>
    <w:tmpl w:val="765AE598"/>
    <w:lvl w:ilvl="0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8">
    <w:nsid w:val="548A724D"/>
    <w:multiLevelType w:val="hybridMultilevel"/>
    <w:tmpl w:val="68EA5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E80010"/>
    <w:multiLevelType w:val="hybridMultilevel"/>
    <w:tmpl w:val="2514F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4900C9"/>
    <w:multiLevelType w:val="hybridMultilevel"/>
    <w:tmpl w:val="7DCC7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103530"/>
    <w:multiLevelType w:val="hybridMultilevel"/>
    <w:tmpl w:val="64101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0F15A3"/>
    <w:multiLevelType w:val="hybridMultilevel"/>
    <w:tmpl w:val="88B28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1D4C2B"/>
    <w:multiLevelType w:val="hybridMultilevel"/>
    <w:tmpl w:val="AADC6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9"/>
  </w:num>
  <w:num w:numId="5">
    <w:abstractNumId w:val="13"/>
  </w:num>
  <w:num w:numId="6">
    <w:abstractNumId w:val="7"/>
  </w:num>
  <w:num w:numId="7">
    <w:abstractNumId w:val="1"/>
  </w:num>
  <w:num w:numId="8">
    <w:abstractNumId w:val="0"/>
  </w:num>
  <w:num w:numId="9">
    <w:abstractNumId w:val="11"/>
  </w:num>
  <w:num w:numId="10">
    <w:abstractNumId w:val="5"/>
  </w:num>
  <w:num w:numId="11">
    <w:abstractNumId w:val="8"/>
  </w:num>
  <w:num w:numId="12">
    <w:abstractNumId w:val="6"/>
  </w:num>
  <w:num w:numId="13">
    <w:abstractNumId w:val="4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55DD0"/>
    <w:rsid w:val="00021B25"/>
    <w:rsid w:val="00036ABD"/>
    <w:rsid w:val="00043F6E"/>
    <w:rsid w:val="000620A1"/>
    <w:rsid w:val="0008165E"/>
    <w:rsid w:val="0009270D"/>
    <w:rsid w:val="000A53EA"/>
    <w:rsid w:val="000B0697"/>
    <w:rsid w:val="000B07CF"/>
    <w:rsid w:val="000C1EEE"/>
    <w:rsid w:val="000E2B1D"/>
    <w:rsid w:val="000E48F9"/>
    <w:rsid w:val="000E527C"/>
    <w:rsid w:val="000F5726"/>
    <w:rsid w:val="001036B0"/>
    <w:rsid w:val="001314E5"/>
    <w:rsid w:val="001455E5"/>
    <w:rsid w:val="001523B1"/>
    <w:rsid w:val="00156B13"/>
    <w:rsid w:val="00186630"/>
    <w:rsid w:val="00187B1F"/>
    <w:rsid w:val="00191259"/>
    <w:rsid w:val="001A4D39"/>
    <w:rsid w:val="001C62B6"/>
    <w:rsid w:val="001D5158"/>
    <w:rsid w:val="001D6860"/>
    <w:rsid w:val="001D6870"/>
    <w:rsid w:val="001F0D93"/>
    <w:rsid w:val="00215D68"/>
    <w:rsid w:val="00216E0F"/>
    <w:rsid w:val="00225B46"/>
    <w:rsid w:val="002371F0"/>
    <w:rsid w:val="00241002"/>
    <w:rsid w:val="00243CB3"/>
    <w:rsid w:val="00267AE6"/>
    <w:rsid w:val="00272BAF"/>
    <w:rsid w:val="00283E88"/>
    <w:rsid w:val="00286D51"/>
    <w:rsid w:val="0029087C"/>
    <w:rsid w:val="002A120D"/>
    <w:rsid w:val="002A1698"/>
    <w:rsid w:val="002B7093"/>
    <w:rsid w:val="002B7C7E"/>
    <w:rsid w:val="002C3E72"/>
    <w:rsid w:val="002D294E"/>
    <w:rsid w:val="002E5A20"/>
    <w:rsid w:val="002F1117"/>
    <w:rsid w:val="002F2673"/>
    <w:rsid w:val="002F7920"/>
    <w:rsid w:val="003020BF"/>
    <w:rsid w:val="0031158C"/>
    <w:rsid w:val="003178AF"/>
    <w:rsid w:val="0033288F"/>
    <w:rsid w:val="00336147"/>
    <w:rsid w:val="00341348"/>
    <w:rsid w:val="00342EFB"/>
    <w:rsid w:val="0034372E"/>
    <w:rsid w:val="003541FB"/>
    <w:rsid w:val="003722C1"/>
    <w:rsid w:val="003932C8"/>
    <w:rsid w:val="00394642"/>
    <w:rsid w:val="003C443D"/>
    <w:rsid w:val="003C4613"/>
    <w:rsid w:val="003C670B"/>
    <w:rsid w:val="003D12F8"/>
    <w:rsid w:val="003D7073"/>
    <w:rsid w:val="003E29DA"/>
    <w:rsid w:val="003F7172"/>
    <w:rsid w:val="0040029E"/>
    <w:rsid w:val="004028C3"/>
    <w:rsid w:val="00406C31"/>
    <w:rsid w:val="00422E6A"/>
    <w:rsid w:val="00422FA4"/>
    <w:rsid w:val="00425A0F"/>
    <w:rsid w:val="00451749"/>
    <w:rsid w:val="0045406D"/>
    <w:rsid w:val="00454D8A"/>
    <w:rsid w:val="0045693D"/>
    <w:rsid w:val="0046376A"/>
    <w:rsid w:val="004679AC"/>
    <w:rsid w:val="00482E55"/>
    <w:rsid w:val="0048390D"/>
    <w:rsid w:val="004910F5"/>
    <w:rsid w:val="004A5F71"/>
    <w:rsid w:val="004B260D"/>
    <w:rsid w:val="004C1F1B"/>
    <w:rsid w:val="004C2A00"/>
    <w:rsid w:val="004C2D6E"/>
    <w:rsid w:val="004E0777"/>
    <w:rsid w:val="004E1F42"/>
    <w:rsid w:val="004E51BF"/>
    <w:rsid w:val="004E52D1"/>
    <w:rsid w:val="004E620B"/>
    <w:rsid w:val="004F6030"/>
    <w:rsid w:val="004F7399"/>
    <w:rsid w:val="00506C0E"/>
    <w:rsid w:val="00507916"/>
    <w:rsid w:val="00514504"/>
    <w:rsid w:val="00523F7D"/>
    <w:rsid w:val="005356EE"/>
    <w:rsid w:val="005863CF"/>
    <w:rsid w:val="00593FA2"/>
    <w:rsid w:val="00594D3A"/>
    <w:rsid w:val="005A3AB1"/>
    <w:rsid w:val="005A5C84"/>
    <w:rsid w:val="005A6A92"/>
    <w:rsid w:val="005B487D"/>
    <w:rsid w:val="005C5FF0"/>
    <w:rsid w:val="00603A67"/>
    <w:rsid w:val="00641D6B"/>
    <w:rsid w:val="00645AFD"/>
    <w:rsid w:val="006543D8"/>
    <w:rsid w:val="00664894"/>
    <w:rsid w:val="00673B19"/>
    <w:rsid w:val="00685B2F"/>
    <w:rsid w:val="006867AE"/>
    <w:rsid w:val="006A47B6"/>
    <w:rsid w:val="006B0B77"/>
    <w:rsid w:val="006B7F81"/>
    <w:rsid w:val="006C712E"/>
    <w:rsid w:val="006C7416"/>
    <w:rsid w:val="006F37D0"/>
    <w:rsid w:val="006F4CEC"/>
    <w:rsid w:val="006F620B"/>
    <w:rsid w:val="007003DF"/>
    <w:rsid w:val="00700C04"/>
    <w:rsid w:val="00713B21"/>
    <w:rsid w:val="00726B4A"/>
    <w:rsid w:val="00730A13"/>
    <w:rsid w:val="00732F17"/>
    <w:rsid w:val="00734960"/>
    <w:rsid w:val="007439F9"/>
    <w:rsid w:val="00755205"/>
    <w:rsid w:val="00775306"/>
    <w:rsid w:val="007767C1"/>
    <w:rsid w:val="00791A94"/>
    <w:rsid w:val="007B1476"/>
    <w:rsid w:val="007C6C78"/>
    <w:rsid w:val="007E4D86"/>
    <w:rsid w:val="007F6017"/>
    <w:rsid w:val="007F7EFD"/>
    <w:rsid w:val="00807C37"/>
    <w:rsid w:val="00814EDE"/>
    <w:rsid w:val="008479F9"/>
    <w:rsid w:val="00853FBE"/>
    <w:rsid w:val="00855037"/>
    <w:rsid w:val="00861267"/>
    <w:rsid w:val="00865CCB"/>
    <w:rsid w:val="00867323"/>
    <w:rsid w:val="0086738E"/>
    <w:rsid w:val="00876EAD"/>
    <w:rsid w:val="008B3E14"/>
    <w:rsid w:val="008C0B6B"/>
    <w:rsid w:val="008D690E"/>
    <w:rsid w:val="008E1600"/>
    <w:rsid w:val="008F2DE6"/>
    <w:rsid w:val="00904E14"/>
    <w:rsid w:val="00916C01"/>
    <w:rsid w:val="009262AD"/>
    <w:rsid w:val="00937813"/>
    <w:rsid w:val="0095161F"/>
    <w:rsid w:val="00956575"/>
    <w:rsid w:val="00963CE8"/>
    <w:rsid w:val="00967BA4"/>
    <w:rsid w:val="009707BE"/>
    <w:rsid w:val="00976D59"/>
    <w:rsid w:val="009775B5"/>
    <w:rsid w:val="009A71CF"/>
    <w:rsid w:val="009C09CF"/>
    <w:rsid w:val="009C2040"/>
    <w:rsid w:val="009D08F7"/>
    <w:rsid w:val="009D38E0"/>
    <w:rsid w:val="009D3E63"/>
    <w:rsid w:val="009D425C"/>
    <w:rsid w:val="009F3FB3"/>
    <w:rsid w:val="009F633E"/>
    <w:rsid w:val="00A00C6B"/>
    <w:rsid w:val="00A1498A"/>
    <w:rsid w:val="00A21BDF"/>
    <w:rsid w:val="00A22D18"/>
    <w:rsid w:val="00A33329"/>
    <w:rsid w:val="00A44314"/>
    <w:rsid w:val="00A47366"/>
    <w:rsid w:val="00A47843"/>
    <w:rsid w:val="00A50433"/>
    <w:rsid w:val="00A523FA"/>
    <w:rsid w:val="00A55434"/>
    <w:rsid w:val="00A57D76"/>
    <w:rsid w:val="00A826D9"/>
    <w:rsid w:val="00A83EC5"/>
    <w:rsid w:val="00A841A1"/>
    <w:rsid w:val="00A8647A"/>
    <w:rsid w:val="00A926BB"/>
    <w:rsid w:val="00A9427F"/>
    <w:rsid w:val="00AA067D"/>
    <w:rsid w:val="00AA7D74"/>
    <w:rsid w:val="00AB0F51"/>
    <w:rsid w:val="00AB2216"/>
    <w:rsid w:val="00AB7C51"/>
    <w:rsid w:val="00AD5F98"/>
    <w:rsid w:val="00AE5106"/>
    <w:rsid w:val="00AF2B70"/>
    <w:rsid w:val="00AF3251"/>
    <w:rsid w:val="00AF47EA"/>
    <w:rsid w:val="00B220CB"/>
    <w:rsid w:val="00B26C97"/>
    <w:rsid w:val="00B34097"/>
    <w:rsid w:val="00B42B92"/>
    <w:rsid w:val="00B47E69"/>
    <w:rsid w:val="00B527DC"/>
    <w:rsid w:val="00B62789"/>
    <w:rsid w:val="00B64AA3"/>
    <w:rsid w:val="00B776B5"/>
    <w:rsid w:val="00B94078"/>
    <w:rsid w:val="00B9603F"/>
    <w:rsid w:val="00BA0E0A"/>
    <w:rsid w:val="00BB2F68"/>
    <w:rsid w:val="00C03A37"/>
    <w:rsid w:val="00C06B72"/>
    <w:rsid w:val="00C11885"/>
    <w:rsid w:val="00C13E50"/>
    <w:rsid w:val="00C15241"/>
    <w:rsid w:val="00C165E7"/>
    <w:rsid w:val="00C46506"/>
    <w:rsid w:val="00C90096"/>
    <w:rsid w:val="00C90D09"/>
    <w:rsid w:val="00C93AA2"/>
    <w:rsid w:val="00C95D10"/>
    <w:rsid w:val="00CA056D"/>
    <w:rsid w:val="00CB008F"/>
    <w:rsid w:val="00CB0C1F"/>
    <w:rsid w:val="00CD15DB"/>
    <w:rsid w:val="00CD75BE"/>
    <w:rsid w:val="00CE141C"/>
    <w:rsid w:val="00CE15FA"/>
    <w:rsid w:val="00CE6199"/>
    <w:rsid w:val="00CF48DF"/>
    <w:rsid w:val="00CF4ADA"/>
    <w:rsid w:val="00CF62D5"/>
    <w:rsid w:val="00D0155D"/>
    <w:rsid w:val="00D03CED"/>
    <w:rsid w:val="00D0726E"/>
    <w:rsid w:val="00D2138A"/>
    <w:rsid w:val="00D23C0B"/>
    <w:rsid w:val="00D26D2F"/>
    <w:rsid w:val="00D41A19"/>
    <w:rsid w:val="00D628C6"/>
    <w:rsid w:val="00D718E2"/>
    <w:rsid w:val="00D750F1"/>
    <w:rsid w:val="00D86207"/>
    <w:rsid w:val="00DB1245"/>
    <w:rsid w:val="00DB1335"/>
    <w:rsid w:val="00DB46D0"/>
    <w:rsid w:val="00DC7C84"/>
    <w:rsid w:val="00DD55D4"/>
    <w:rsid w:val="00DE25C7"/>
    <w:rsid w:val="00DE44CA"/>
    <w:rsid w:val="00DE6A0B"/>
    <w:rsid w:val="00DE707E"/>
    <w:rsid w:val="00DF67AB"/>
    <w:rsid w:val="00E01632"/>
    <w:rsid w:val="00E101BF"/>
    <w:rsid w:val="00E11286"/>
    <w:rsid w:val="00E11BAF"/>
    <w:rsid w:val="00E16849"/>
    <w:rsid w:val="00E17FAD"/>
    <w:rsid w:val="00E20316"/>
    <w:rsid w:val="00E22B8C"/>
    <w:rsid w:val="00E22F8C"/>
    <w:rsid w:val="00E23EFB"/>
    <w:rsid w:val="00E420FE"/>
    <w:rsid w:val="00E51F89"/>
    <w:rsid w:val="00E55DD0"/>
    <w:rsid w:val="00E64FF6"/>
    <w:rsid w:val="00E84917"/>
    <w:rsid w:val="00E90C2B"/>
    <w:rsid w:val="00EA7FF2"/>
    <w:rsid w:val="00EC4883"/>
    <w:rsid w:val="00ED0593"/>
    <w:rsid w:val="00ED1181"/>
    <w:rsid w:val="00ED6511"/>
    <w:rsid w:val="00EE0AD5"/>
    <w:rsid w:val="00EE4A73"/>
    <w:rsid w:val="00F06B0C"/>
    <w:rsid w:val="00F11C5F"/>
    <w:rsid w:val="00F13DEC"/>
    <w:rsid w:val="00F17F12"/>
    <w:rsid w:val="00F201B8"/>
    <w:rsid w:val="00F240C7"/>
    <w:rsid w:val="00F250A3"/>
    <w:rsid w:val="00F371AC"/>
    <w:rsid w:val="00F431DE"/>
    <w:rsid w:val="00F44608"/>
    <w:rsid w:val="00F63C47"/>
    <w:rsid w:val="00F71592"/>
    <w:rsid w:val="00F7566C"/>
    <w:rsid w:val="00F86FC2"/>
    <w:rsid w:val="00F9468E"/>
    <w:rsid w:val="00FA13DE"/>
    <w:rsid w:val="00FA38D4"/>
    <w:rsid w:val="00FA7A84"/>
    <w:rsid w:val="00FB2453"/>
    <w:rsid w:val="00FC7F87"/>
    <w:rsid w:val="00FE42DB"/>
    <w:rsid w:val="00FE4F4E"/>
    <w:rsid w:val="00FF1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3DE"/>
    <w:pPr>
      <w:spacing w:before="0" w:after="0" w:line="360" w:lineRule="auto"/>
      <w:jc w:val="both"/>
    </w:pPr>
    <w:rPr>
      <w:rFonts w:ascii="Times New Roman" w:hAnsi="Times New Roman"/>
      <w:szCs w:val="20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A13DE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40" w:after="120"/>
      <w:outlineLvl w:val="0"/>
    </w:pPr>
    <w:rPr>
      <w:b/>
      <w:bCs/>
      <w:caps/>
      <w:color w:val="FFFFFF" w:themeColor="background1"/>
      <w:spacing w:val="15"/>
      <w:sz w:val="24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25B46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40" w:after="120"/>
      <w:outlineLvl w:val="1"/>
    </w:pPr>
    <w:rPr>
      <w:b/>
      <w:smallCaps/>
      <w:spacing w:val="15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F3FB3"/>
    <w:pPr>
      <w:pBdr>
        <w:top w:val="single" w:sz="6" w:space="2" w:color="4F81BD" w:themeColor="accent1"/>
        <w:left w:val="single" w:sz="6" w:space="2" w:color="4F81BD" w:themeColor="accent1"/>
      </w:pBdr>
      <w:spacing w:before="240" w:after="120"/>
      <w:outlineLvl w:val="2"/>
    </w:pPr>
    <w:rPr>
      <w:b/>
      <w:i/>
      <w:smallCaps/>
      <w:color w:val="000000" w:themeColor="text1"/>
      <w:spacing w:val="15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A13DE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A13DE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A13DE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A13DE"/>
    <w:pPr>
      <w:spacing w:before="300"/>
      <w:outlineLvl w:val="6"/>
    </w:pPr>
    <w:rPr>
      <w:caps/>
      <w:color w:val="365F91" w:themeColor="accent1" w:themeShade="BF"/>
      <w:spacing w:val="10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A13DE"/>
    <w:pPr>
      <w:spacing w:before="30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A13DE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13D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A13DE"/>
    <w:rPr>
      <w:rFonts w:ascii="Times New Roman" w:hAnsi="Times New Roman"/>
      <w:b/>
      <w:bCs/>
      <w:caps/>
      <w:color w:val="FFFFFF" w:themeColor="background1"/>
      <w:spacing w:val="15"/>
      <w:sz w:val="24"/>
      <w:shd w:val="clear" w:color="auto" w:fill="4F81BD" w:themeFill="accent1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25B46"/>
    <w:rPr>
      <w:rFonts w:ascii="Times New Roman" w:hAnsi="Times New Roman"/>
      <w:b/>
      <w:smallCaps/>
      <w:spacing w:val="15"/>
      <w:shd w:val="clear" w:color="auto" w:fill="DBE5F1" w:themeFill="accent1" w:themeFillTint="33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F3FB3"/>
    <w:rPr>
      <w:rFonts w:ascii="Times New Roman" w:hAnsi="Times New Roman"/>
      <w:b/>
      <w:i/>
      <w:smallCaps/>
      <w:color w:val="000000" w:themeColor="text1"/>
      <w:spacing w:val="15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A13DE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A13DE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A13DE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A13DE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A13DE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A13DE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48390D"/>
    <w:pPr>
      <w:spacing w:before="240" w:line="240" w:lineRule="auto"/>
      <w:jc w:val="center"/>
    </w:pPr>
    <w:rPr>
      <w:b/>
      <w:bCs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FA13DE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A13DE"/>
    <w:rPr>
      <w:caps/>
      <w:color w:val="4F81BD" w:themeColor="accent1"/>
      <w:spacing w:val="10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A13DE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A13DE"/>
    <w:rPr>
      <w:caps/>
      <w:color w:val="595959" w:themeColor="text1" w:themeTint="A6"/>
      <w:spacing w:val="10"/>
      <w:sz w:val="24"/>
      <w:szCs w:val="24"/>
    </w:rPr>
  </w:style>
  <w:style w:type="character" w:styleId="Pogrubienie">
    <w:name w:val="Strong"/>
    <w:uiPriority w:val="22"/>
    <w:qFormat/>
    <w:rsid w:val="00FA13DE"/>
    <w:rPr>
      <w:b/>
      <w:bCs/>
    </w:rPr>
  </w:style>
  <w:style w:type="character" w:styleId="Uwydatnienie">
    <w:name w:val="Emphasis"/>
    <w:uiPriority w:val="20"/>
    <w:qFormat/>
    <w:rsid w:val="00FA13DE"/>
    <w:rPr>
      <w:caps/>
      <w:color w:val="243F60" w:themeColor="accent1" w:themeShade="7F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FA13DE"/>
    <w:pPr>
      <w:spacing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FA13DE"/>
    <w:rPr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FA13D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A13DE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A13DE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A13DE"/>
    <w:rPr>
      <w:i/>
      <w:iCs/>
      <w:color w:val="4F81BD" w:themeColor="accent1"/>
      <w:sz w:val="20"/>
      <w:szCs w:val="20"/>
    </w:rPr>
  </w:style>
  <w:style w:type="character" w:styleId="Wyrnieniedelikatne">
    <w:name w:val="Subtle Emphasis"/>
    <w:uiPriority w:val="19"/>
    <w:qFormat/>
    <w:rsid w:val="00FA13DE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FA13DE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FA13DE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FA13DE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FA13DE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A13DE"/>
    <w:pPr>
      <w:outlineLvl w:val="9"/>
    </w:pPr>
    <w:rPr>
      <w:lang w:bidi="en-US"/>
    </w:rPr>
  </w:style>
  <w:style w:type="table" w:styleId="Tabela-Siatka">
    <w:name w:val="Table Grid"/>
    <w:basedOn w:val="Standardowy"/>
    <w:uiPriority w:val="59"/>
    <w:rsid w:val="00F06B0C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9A71C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7C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7C7E"/>
    <w:rPr>
      <w:rFonts w:ascii="Tahoma" w:hAnsi="Tahoma" w:cs="Tahoma"/>
      <w:sz w:val="16"/>
      <w:szCs w:val="16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5B4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0C6B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0C6B"/>
    <w:rPr>
      <w:rFonts w:ascii="Times New Roman" w:hAnsi="Times New Roman"/>
      <w:sz w:val="20"/>
      <w:szCs w:val="20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1286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1286"/>
    <w:rPr>
      <w:rFonts w:ascii="Times New Roman" w:hAnsi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128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13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138A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138A"/>
    <w:rPr>
      <w:rFonts w:ascii="Times New Roman" w:hAnsi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13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138A"/>
    <w:rPr>
      <w:rFonts w:ascii="Times New Roman" w:hAnsi="Times New Roman"/>
      <w:b/>
      <w:bCs/>
      <w:sz w:val="20"/>
      <w:szCs w:val="20"/>
      <w:lang w:val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61267"/>
    <w:pPr>
      <w:spacing w:after="100"/>
    </w:pPr>
    <w:rPr>
      <w:b/>
    </w:rPr>
  </w:style>
  <w:style w:type="paragraph" w:styleId="Spistreci2">
    <w:name w:val="toc 2"/>
    <w:basedOn w:val="Normalny"/>
    <w:next w:val="Normalny"/>
    <w:autoRedefine/>
    <w:uiPriority w:val="39"/>
    <w:unhideWhenUsed/>
    <w:rsid w:val="00861267"/>
    <w:pPr>
      <w:ind w:left="221"/>
    </w:pPr>
  </w:style>
  <w:style w:type="paragraph" w:styleId="Spistreci3">
    <w:name w:val="toc 3"/>
    <w:basedOn w:val="Normalny"/>
    <w:next w:val="Normalny"/>
    <w:autoRedefine/>
    <w:uiPriority w:val="39"/>
    <w:unhideWhenUsed/>
    <w:rsid w:val="00861267"/>
    <w:pPr>
      <w:tabs>
        <w:tab w:val="right" w:leader="dot" w:pos="9395"/>
      </w:tabs>
      <w:ind w:left="442"/>
    </w:pPr>
    <w:rPr>
      <w:i/>
    </w:rPr>
  </w:style>
  <w:style w:type="paragraph" w:styleId="Nagwek">
    <w:name w:val="header"/>
    <w:basedOn w:val="Normalny"/>
    <w:link w:val="NagwekZnak"/>
    <w:uiPriority w:val="99"/>
    <w:unhideWhenUsed/>
    <w:rsid w:val="00C06B72"/>
    <w:pPr>
      <w:tabs>
        <w:tab w:val="center" w:pos="4703"/>
        <w:tab w:val="right" w:pos="9406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6B72"/>
    <w:rPr>
      <w:rFonts w:ascii="Times New Roman" w:hAnsi="Times New Roman"/>
      <w:szCs w:val="20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06B72"/>
    <w:pPr>
      <w:tabs>
        <w:tab w:val="center" w:pos="4703"/>
        <w:tab w:val="right" w:pos="940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B72"/>
    <w:rPr>
      <w:rFonts w:ascii="Times New Roman" w:hAnsi="Times New Roman"/>
      <w:szCs w:val="20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7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t.gov.pl/" TargetMode="External"/><Relationship Id="rId13" Type="http://schemas.openxmlformats.org/officeDocument/2006/relationships/chart" Target="charts/chart2.xml"/><Relationship Id="rId18" Type="http://schemas.openxmlformats.org/officeDocument/2006/relationships/chart" Target="charts/chart4.xml"/><Relationship Id="rId26" Type="http://schemas.openxmlformats.org/officeDocument/2006/relationships/hyperlink" Target="http://www.zdrowie.gov.pl/aktualnosc-35-2143-Dane_dotyczace_standaryzowanych_wskaznikow_umieralnosci_%28SMR%29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stat.gov.p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tat.gov.pl/" TargetMode="External"/><Relationship Id="rId17" Type="http://schemas.openxmlformats.org/officeDocument/2006/relationships/hyperlink" Target="http://stat.gov.pl/" TargetMode="External"/><Relationship Id="rId25" Type="http://schemas.openxmlformats.org/officeDocument/2006/relationships/hyperlink" Target="http://stat.gov.pl/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20" Type="http://schemas.openxmlformats.org/officeDocument/2006/relationships/chart" Target="charts/chart5.xm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drowie.gov.pl/aktualnosc-35-2143-Dane_dotyczace_standaryzowanych_wskaznikow_umieralnosci_%28SMR%29.html" TargetMode="External"/><Relationship Id="rId24" Type="http://schemas.openxmlformats.org/officeDocument/2006/relationships/chart" Target="charts/chart7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stat.gov.pl/" TargetMode="External"/><Relationship Id="rId23" Type="http://schemas.openxmlformats.org/officeDocument/2006/relationships/hyperlink" Target="http://stat.gov.pl/" TargetMode="External"/><Relationship Id="rId28" Type="http://schemas.openxmlformats.org/officeDocument/2006/relationships/hyperlink" Target="http://www.atlas.pzh.gov.pl/" TargetMode="External"/><Relationship Id="rId10" Type="http://schemas.openxmlformats.org/officeDocument/2006/relationships/chart" Target="charts/chart1.xml"/><Relationship Id="rId19" Type="http://schemas.openxmlformats.org/officeDocument/2006/relationships/hyperlink" Target="http://stat.gov.pl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drowie.gov.pl/aktualnosc-35-2143-Dane_dotyczace_standaryzowanych_wskaznikow_umieralnosci_%28SMR%29.html" TargetMode="External"/><Relationship Id="rId14" Type="http://schemas.openxmlformats.org/officeDocument/2006/relationships/hyperlink" Target="http://stat.gov.pl/" TargetMode="External"/><Relationship Id="rId22" Type="http://schemas.openxmlformats.org/officeDocument/2006/relationships/chart" Target="charts/chart6.xml"/><Relationship Id="rId27" Type="http://schemas.openxmlformats.org/officeDocument/2006/relationships/hyperlink" Target="http://www.atlas.pzh.gov.pl/" TargetMode="External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zczecin.uw.gov.pl/?type=article&amp;action=view&amp;id=4037" TargetMode="External"/><Relationship Id="rId2" Type="http://schemas.openxmlformats.org/officeDocument/2006/relationships/hyperlink" Target="http://www.http://stat.gov.pl" TargetMode="External"/><Relationship Id="rId1" Type="http://schemas.openxmlformats.org/officeDocument/2006/relationships/hyperlink" Target="http://stat.gov.pl/" TargetMode="External"/><Relationship Id="rId5" Type="http://schemas.openxmlformats.org/officeDocument/2006/relationships/hyperlink" Target="http://www.ddk.viamedica.pl" TargetMode="External"/><Relationship Id="rId4" Type="http://schemas.openxmlformats.org/officeDocument/2006/relationships/hyperlink" Target="http://www.szczecin.uw.gov.pl/?type=article&amp;action=view&amp;id=403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amila%20Drelich\Desktop\Zlecenia\Grupa%20Ergo%20Sp.%20z%20o.o\2014\9_&#346;widwi&#324;ski\Obliczenia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amila%20Drelich\Desktop\Zlecenia\Grupa%20Ergo%20Sp.%20z%20o.o\2014\9_&#346;widwi&#324;ski\Obliczenia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amila%20Drelich\Desktop\Zlecenia\Grupa%20Ergo%20Sp.%20z%20o.o\2014\9_&#346;widwi&#324;ski\Obliczenia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amila%20Drelich\AppData\Local\Temp\DP_20140511_112051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amila%20Drelich\Desktop\Zlecenia\Grupa%20Ergo%20Sp.%20z%20o.o\2014\9_&#346;widwi&#324;ski\Obliczenia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amila%20Drelich\Desktop\Zlecenia\Grupa%20Ergo%20Sp.%20z%20o.o\2014\PL_13\9_&#346;widwi&#324;ski\Obliczenia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amila%20Drelich\Desktop\Zlecenia\Grupa%20Ergo%20Sp.%20z%20o.o\2014\PL_13\9_&#346;widwi&#324;ski\Obliczeni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19"/>
  <c:chart>
    <c:autoTitleDeleted val="1"/>
    <c:plotArea>
      <c:layout>
        <c:manualLayout>
          <c:layoutTarget val="inner"/>
          <c:xMode val="edge"/>
          <c:yMode val="edge"/>
          <c:x val="0.28688101487314088"/>
          <c:y val="9.1643700787401569E-2"/>
          <c:w val="0.48457152230971173"/>
          <c:h val="0.80761920384951968"/>
        </c:manualLayout>
      </c:layout>
      <c:radarChart>
        <c:radarStyle val="marker"/>
        <c:ser>
          <c:idx val="0"/>
          <c:order val="0"/>
          <c:tx>
            <c:v>SMR</c:v>
          </c:tx>
          <c:marker>
            <c:symbol val="none"/>
          </c:marker>
          <c:cat>
            <c:strRef>
              <c:f>Etap_1!$D$4:$H$4</c:f>
              <c:strCache>
                <c:ptCount val="5"/>
                <c:pt idx="0">
                  <c:v>SMR nowotwory złośliwe</c:v>
                </c:pt>
                <c:pt idx="1">
                  <c:v>SMR ChUK</c:v>
                </c:pt>
                <c:pt idx="2">
                  <c:v>SMR ChUO</c:v>
                </c:pt>
                <c:pt idx="3">
                  <c:v>SMR ChUT</c:v>
                </c:pt>
                <c:pt idx="4">
                  <c:v>SMR PZ</c:v>
                </c:pt>
              </c:strCache>
            </c:strRef>
          </c:cat>
          <c:val>
            <c:numRef>
              <c:f>Etap_1!$D$6:$H$6</c:f>
              <c:numCache>
                <c:formatCode>0.000</c:formatCode>
                <c:ptCount val="5"/>
                <c:pt idx="0">
                  <c:v>1.0837930701344249</c:v>
                </c:pt>
                <c:pt idx="1">
                  <c:v>1.0988684697756701</c:v>
                </c:pt>
                <c:pt idx="2">
                  <c:v>0.83841116405541538</c:v>
                </c:pt>
                <c:pt idx="3">
                  <c:v>1.2262775390132918</c:v>
                </c:pt>
                <c:pt idx="4">
                  <c:v>1.4942314441272317</c:v>
                </c:pt>
              </c:numCache>
            </c:numRef>
          </c:val>
        </c:ser>
        <c:axId val="63743872"/>
        <c:axId val="63745408"/>
      </c:radarChart>
      <c:catAx>
        <c:axId val="63743872"/>
        <c:scaling>
          <c:orientation val="minMax"/>
        </c:scaling>
        <c:axPos val="b"/>
        <c:majorGridlines/>
        <c:numFmt formatCode="General" sourceLinked="0"/>
        <c:tickLblPos val="nextTo"/>
        <c:txPr>
          <a:bodyPr/>
          <a:lstStyle/>
          <a:p>
            <a:pPr>
              <a:defRPr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pl-PL"/>
          </a:p>
        </c:txPr>
        <c:crossAx val="63745408"/>
        <c:crosses val="autoZero"/>
        <c:auto val="1"/>
        <c:lblAlgn val="ctr"/>
        <c:lblOffset val="100"/>
      </c:catAx>
      <c:valAx>
        <c:axId val="63745408"/>
        <c:scaling>
          <c:orientation val="minMax"/>
        </c:scaling>
        <c:axPos val="l"/>
        <c:majorGridlines/>
        <c:numFmt formatCode="0.000" sourceLinked="1"/>
        <c:majorTickMark val="cross"/>
        <c:tickLblPos val="nextTo"/>
        <c:txPr>
          <a:bodyPr/>
          <a:lstStyle/>
          <a:p>
            <a:pPr>
              <a:defRPr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pl-PL"/>
          </a:p>
        </c:txPr>
        <c:crossAx val="6374387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1.1855643044619463E-2"/>
          <c:y val="0.88905475357247132"/>
          <c:w val="0.15406649168853911"/>
          <c:h val="7.2149581660018072E-2"/>
        </c:manualLayout>
      </c:layout>
      <c:txPr>
        <a:bodyPr/>
        <a:lstStyle/>
        <a:p>
          <a:pPr>
            <a:defRPr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pl-PL"/>
        </a:p>
      </c:txPr>
    </c:legend>
    <c:plotVisOnly val="1"/>
    <c:dispBlanksAs val="gap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style val="19"/>
  <c:chart>
    <c:autoTitleDeleted val="1"/>
    <c:view3D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Etap_1!$C$31</c:f>
              <c:strCache>
                <c:ptCount val="1"/>
                <c:pt idx="0">
                  <c:v>2009</c:v>
                </c:pt>
              </c:strCache>
            </c:strRef>
          </c:tx>
          <c:spPr>
            <a:solidFill>
              <a:schemeClr val="accent6"/>
            </a:solidFill>
          </c:spPr>
          <c:cat>
            <c:numRef>
              <c:f>Etap_1!$B$32:$B$45</c:f>
              <c:numCache>
                <c:formatCode>General</c:formatCode>
                <c:ptCount val="1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</c:numCache>
            </c:numRef>
          </c:cat>
          <c:val>
            <c:numRef>
              <c:f>Etap_1!$C$32:$C$45</c:f>
              <c:numCache>
                <c:formatCode>General</c:formatCode>
                <c:ptCount val="14"/>
                <c:pt idx="0">
                  <c:v>1</c:v>
                </c:pt>
                <c:pt idx="1">
                  <c:v>210</c:v>
                </c:pt>
                <c:pt idx="2">
                  <c:v>2</c:v>
                </c:pt>
                <c:pt idx="3">
                  <c:v>3</c:v>
                </c:pt>
                <c:pt idx="4">
                  <c:v>24</c:v>
                </c:pt>
                <c:pt idx="5">
                  <c:v>18</c:v>
                </c:pt>
                <c:pt idx="6">
                  <c:v>4</c:v>
                </c:pt>
                <c:pt idx="7">
                  <c:v>3</c:v>
                </c:pt>
                <c:pt idx="8">
                  <c:v>107</c:v>
                </c:pt>
                <c:pt idx="9">
                  <c:v>29</c:v>
                </c:pt>
                <c:pt idx="10">
                  <c:v>0</c:v>
                </c:pt>
                <c:pt idx="11">
                  <c:v>1</c:v>
                </c:pt>
                <c:pt idx="12">
                  <c:v>10</c:v>
                </c:pt>
                <c:pt idx="13">
                  <c:v>47</c:v>
                </c:pt>
              </c:numCache>
            </c:numRef>
          </c:val>
        </c:ser>
        <c:ser>
          <c:idx val="1"/>
          <c:order val="1"/>
          <c:tx>
            <c:strRef>
              <c:f>Etap_1!$D$31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chemeClr val="accent1"/>
            </a:solidFill>
          </c:spPr>
          <c:cat>
            <c:numRef>
              <c:f>Etap_1!$B$32:$B$45</c:f>
              <c:numCache>
                <c:formatCode>General</c:formatCode>
                <c:ptCount val="1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</c:numCache>
            </c:numRef>
          </c:cat>
          <c:val>
            <c:numRef>
              <c:f>Etap_1!$D$32:$D$45</c:f>
              <c:numCache>
                <c:formatCode>General</c:formatCode>
                <c:ptCount val="14"/>
                <c:pt idx="0">
                  <c:v>2</c:v>
                </c:pt>
                <c:pt idx="1">
                  <c:v>234</c:v>
                </c:pt>
                <c:pt idx="2">
                  <c:v>9</c:v>
                </c:pt>
                <c:pt idx="3">
                  <c:v>5</c:v>
                </c:pt>
                <c:pt idx="4">
                  <c:v>20</c:v>
                </c:pt>
                <c:pt idx="5">
                  <c:v>27</c:v>
                </c:pt>
                <c:pt idx="6">
                  <c:v>5</c:v>
                </c:pt>
                <c:pt idx="7">
                  <c:v>3</c:v>
                </c:pt>
                <c:pt idx="8">
                  <c:v>161</c:v>
                </c:pt>
                <c:pt idx="9">
                  <c:v>32</c:v>
                </c:pt>
                <c:pt idx="10">
                  <c:v>2</c:v>
                </c:pt>
                <c:pt idx="11">
                  <c:v>0</c:v>
                </c:pt>
                <c:pt idx="12">
                  <c:v>7</c:v>
                </c:pt>
                <c:pt idx="13">
                  <c:v>33</c:v>
                </c:pt>
              </c:numCache>
            </c:numRef>
          </c:val>
        </c:ser>
        <c:shape val="box"/>
        <c:axId val="124612608"/>
        <c:axId val="124614144"/>
        <c:axId val="0"/>
      </c:bar3DChart>
      <c:catAx>
        <c:axId val="124612608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b="1"/>
            </a:pPr>
            <a:endParaRPr lang="pl-PL"/>
          </a:p>
        </c:txPr>
        <c:crossAx val="124614144"/>
        <c:crosses val="autoZero"/>
        <c:auto val="1"/>
        <c:lblAlgn val="ctr"/>
        <c:lblOffset val="100"/>
      </c:catAx>
      <c:valAx>
        <c:axId val="124614144"/>
        <c:scaling>
          <c:orientation val="minMax"/>
        </c:scaling>
        <c:axPos val="b"/>
        <c:majorGridlines/>
        <c:numFmt formatCode="General" sourceLinked="1"/>
        <c:tickLblPos val="nextTo"/>
        <c:txPr>
          <a:bodyPr/>
          <a:lstStyle/>
          <a:p>
            <a:pPr>
              <a:defRPr b="1"/>
            </a:pPr>
            <a:endParaRPr lang="pl-PL"/>
          </a:p>
        </c:txPr>
        <c:crossAx val="124612608"/>
        <c:crosses val="autoZero"/>
        <c:crossBetween val="between"/>
      </c:valAx>
    </c:plotArea>
    <c:legend>
      <c:legendPos val="r"/>
      <c:txPr>
        <a:bodyPr/>
        <a:lstStyle/>
        <a:p>
          <a:pPr>
            <a:defRPr b="1"/>
          </a:pPr>
          <a:endParaRPr lang="pl-PL"/>
        </a:p>
      </c:txPr>
    </c:legend>
    <c:plotVisOnly val="1"/>
    <c:dispBlanksAs val="gap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pl-PL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27"/>
  <c:chart>
    <c:plotArea>
      <c:layout/>
      <c:barChart>
        <c:barDir val="col"/>
        <c:grouping val="clustered"/>
        <c:ser>
          <c:idx val="0"/>
          <c:order val="0"/>
          <c:tx>
            <c:strRef>
              <c:f>Etap_1!$A$80</c:f>
              <c:strCache>
                <c:ptCount val="1"/>
                <c:pt idx="0">
                  <c:v>Kobiety</c:v>
                </c:pt>
              </c:strCache>
            </c:strRef>
          </c:tx>
          <c:spPr>
            <a:solidFill>
              <a:schemeClr val="accent1"/>
            </a:solidFill>
          </c:spPr>
          <c:cat>
            <c:strRef>
              <c:f>Etap_1!$B$79:$E$79</c:f>
              <c:strCache>
                <c:ptCount val="4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</c:strCache>
            </c:strRef>
          </c:cat>
          <c:val>
            <c:numRef>
              <c:f>Etap_1!$B$80:$E$80</c:f>
              <c:numCache>
                <c:formatCode>#,##0</c:formatCode>
                <c:ptCount val="4"/>
                <c:pt idx="0">
                  <c:v>24699</c:v>
                </c:pt>
                <c:pt idx="1">
                  <c:v>24991</c:v>
                </c:pt>
                <c:pt idx="2">
                  <c:v>24827</c:v>
                </c:pt>
                <c:pt idx="3">
                  <c:v>24751</c:v>
                </c:pt>
              </c:numCache>
            </c:numRef>
          </c:val>
        </c:ser>
        <c:ser>
          <c:idx val="1"/>
          <c:order val="1"/>
          <c:tx>
            <c:strRef>
              <c:f>Etap_1!$A$81</c:f>
              <c:strCache>
                <c:ptCount val="1"/>
                <c:pt idx="0">
                  <c:v>Mężczyźni</c:v>
                </c:pt>
              </c:strCache>
            </c:strRef>
          </c:tx>
          <c:spPr>
            <a:solidFill>
              <a:schemeClr val="accent6"/>
            </a:solidFill>
          </c:spPr>
          <c:cat>
            <c:strRef>
              <c:f>Etap_1!$B$79:$E$79</c:f>
              <c:strCache>
                <c:ptCount val="4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</c:strCache>
            </c:strRef>
          </c:cat>
          <c:val>
            <c:numRef>
              <c:f>Etap_1!$B$81:$E$81</c:f>
              <c:numCache>
                <c:formatCode>#,##0</c:formatCode>
                <c:ptCount val="4"/>
                <c:pt idx="0">
                  <c:v>23771</c:v>
                </c:pt>
                <c:pt idx="1">
                  <c:v>24455</c:v>
                </c:pt>
                <c:pt idx="2">
                  <c:v>24354</c:v>
                </c:pt>
                <c:pt idx="3">
                  <c:v>24149</c:v>
                </c:pt>
              </c:numCache>
            </c:numRef>
          </c:val>
        </c:ser>
        <c:axId val="124668928"/>
        <c:axId val="124678912"/>
      </c:barChart>
      <c:lineChart>
        <c:grouping val="standard"/>
        <c:ser>
          <c:idx val="2"/>
          <c:order val="2"/>
          <c:tx>
            <c:v>Wielkość populacji</c:v>
          </c:tx>
          <c:spPr>
            <a:ln w="38100">
              <a:solidFill>
                <a:schemeClr val="bg1">
                  <a:lumMod val="65000"/>
                </a:schemeClr>
              </a:solidFill>
            </a:ln>
          </c:spPr>
          <c:marker>
            <c:symbol val="none"/>
          </c:marker>
          <c:cat>
            <c:strRef>
              <c:f>Etap_1!$B$79:$E$79</c:f>
              <c:strCache>
                <c:ptCount val="4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</c:strCache>
            </c:strRef>
          </c:cat>
          <c:val>
            <c:numRef>
              <c:f>Etap_1!$B$82:$E$82</c:f>
              <c:numCache>
                <c:formatCode>#,##0</c:formatCode>
                <c:ptCount val="4"/>
                <c:pt idx="0">
                  <c:v>48470</c:v>
                </c:pt>
                <c:pt idx="1">
                  <c:v>49446</c:v>
                </c:pt>
                <c:pt idx="2">
                  <c:v>49181</c:v>
                </c:pt>
                <c:pt idx="3">
                  <c:v>48900</c:v>
                </c:pt>
              </c:numCache>
            </c:numRef>
          </c:val>
        </c:ser>
        <c:marker val="1"/>
        <c:axId val="124687104"/>
        <c:axId val="124680832"/>
      </c:lineChart>
      <c:catAx>
        <c:axId val="124668928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b="1"/>
            </a:pPr>
            <a:endParaRPr lang="pl-PL"/>
          </a:p>
        </c:txPr>
        <c:crossAx val="124678912"/>
        <c:crosses val="autoZero"/>
        <c:auto val="1"/>
        <c:lblAlgn val="ctr"/>
        <c:lblOffset val="100"/>
      </c:catAx>
      <c:valAx>
        <c:axId val="124678912"/>
        <c:scaling>
          <c:orientation val="minMax"/>
          <c:max val="30000"/>
          <c:min val="2000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pl-PL"/>
                  <a:t>Wielkość populacji danej płci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9.9132576942231095E-3"/>
              <c:y val="0.17438860273809453"/>
            </c:manualLayout>
          </c:layout>
        </c:title>
        <c:numFmt formatCode="#,##0" sourceLinked="1"/>
        <c:tickLblPos val="nextTo"/>
        <c:txPr>
          <a:bodyPr/>
          <a:lstStyle/>
          <a:p>
            <a:pPr>
              <a:defRPr b="1"/>
            </a:pPr>
            <a:endParaRPr lang="pl-PL"/>
          </a:p>
        </c:txPr>
        <c:crossAx val="124668928"/>
        <c:crosses val="autoZero"/>
        <c:crossBetween val="between"/>
        <c:majorUnit val="2000"/>
      </c:valAx>
      <c:valAx>
        <c:axId val="124680832"/>
        <c:scaling>
          <c:orientation val="minMax"/>
          <c:max val="50000"/>
          <c:min val="45000"/>
        </c:scaling>
        <c:axPos val="r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pl-PL"/>
                  <a:t>Wielkość populacji ogółem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0.9644774932623672"/>
              <c:y val="0.19290164762687825"/>
            </c:manualLayout>
          </c:layout>
        </c:title>
        <c:numFmt formatCode="#,##0" sourceLinked="1"/>
        <c:tickLblPos val="nextTo"/>
        <c:txPr>
          <a:bodyPr/>
          <a:lstStyle/>
          <a:p>
            <a:pPr>
              <a:defRPr b="1"/>
            </a:pPr>
            <a:endParaRPr lang="pl-PL"/>
          </a:p>
        </c:txPr>
        <c:crossAx val="124687104"/>
        <c:crosses val="max"/>
        <c:crossBetween val="between"/>
        <c:majorUnit val="1000"/>
      </c:valAx>
      <c:catAx>
        <c:axId val="124687104"/>
        <c:scaling>
          <c:orientation val="minMax"/>
        </c:scaling>
        <c:delete val="1"/>
        <c:axPos val="b"/>
        <c:numFmt formatCode="General" sourceLinked="1"/>
        <c:tickLblPos val="none"/>
        <c:crossAx val="124680832"/>
        <c:crosses val="autoZero"/>
        <c:auto val="1"/>
        <c:lblAlgn val="ctr"/>
        <c:lblOffset val="100"/>
      </c:catAx>
    </c:plotArea>
    <c:legend>
      <c:legendPos val="b"/>
    </c:legend>
    <c:plotVisOnly val="1"/>
    <c:dispBlanksAs val="gap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pl-PL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27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[DP_20140511_112051.xls]DATA!$G$1</c:f>
              <c:strCache>
                <c:ptCount val="1"/>
                <c:pt idx="0">
                  <c:v>Wartość</c:v>
                </c:pt>
              </c:strCache>
            </c:strRef>
          </c:tx>
          <c:explosion val="25"/>
          <c:dPt>
            <c:idx val="0"/>
            <c:spPr>
              <a:solidFill>
                <a:srgbClr val="00B0F0"/>
              </a:solidFill>
            </c:spPr>
          </c:dPt>
          <c:dPt>
            <c:idx val="1"/>
            <c:spPr>
              <a:solidFill>
                <a:schemeClr val="tx2"/>
              </a:solidFill>
            </c:spPr>
          </c:dPt>
          <c:dPt>
            <c:idx val="2"/>
            <c:spPr>
              <a:solidFill>
                <a:schemeClr val="tx2">
                  <a:lumMod val="20000"/>
                  <a:lumOff val="80000"/>
                </a:schemeClr>
              </a:solidFill>
            </c:spPr>
          </c:dPt>
          <c:dLbls>
            <c:dLbl>
              <c:idx val="0"/>
              <c:layout>
                <c:manualLayout>
                  <c:x val="6.0387805802349592E-2"/>
                  <c:y val="-4.0031350247885684E-2"/>
                </c:manualLayout>
              </c:layout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20669179053153139"/>
                  <c:y val="-5.6780419804692533E-2"/>
                </c:manualLayout>
              </c:layout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3128552781169602E-2"/>
                  <c:y val="-3.8077063283756242E-2"/>
                </c:manualLayout>
              </c:layout>
              <c:showPercent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pl-PL"/>
              </a:p>
            </c:txPr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[DP_20140511_112051.xls]DATA!$C$2:$C$4</c:f>
              <c:strCache>
                <c:ptCount val="3"/>
                <c:pt idx="0">
                  <c:v>w wieku przedprodukcyjnym</c:v>
                </c:pt>
                <c:pt idx="1">
                  <c:v>w wieku produkcyjnym</c:v>
                </c:pt>
                <c:pt idx="2">
                  <c:v>w wieku poprodukcyjnym</c:v>
                </c:pt>
              </c:strCache>
            </c:strRef>
          </c:cat>
          <c:val>
            <c:numRef>
              <c:f>[DP_20140511_112051.xls]DATA!$G$2:$G$4</c:f>
              <c:numCache>
                <c:formatCode>0</c:formatCode>
                <c:ptCount val="3"/>
                <c:pt idx="0">
                  <c:v>9064</c:v>
                </c:pt>
                <c:pt idx="1">
                  <c:v>31876</c:v>
                </c:pt>
                <c:pt idx="2">
                  <c:v>7960</c:v>
                </c:pt>
              </c:numCache>
            </c:numRef>
          </c:val>
        </c:ser>
      </c:pie3DChart>
    </c:plotArea>
    <c:legend>
      <c:legendPos val="b"/>
      <c:layout>
        <c:manualLayout>
          <c:xMode val="edge"/>
          <c:yMode val="edge"/>
          <c:x val="1.0231113455315695E-2"/>
          <c:y val="0.92874744893610761"/>
          <c:w val="0.95401943178155368"/>
          <c:h val="5.6492409180575832E-2"/>
        </c:manualLayout>
      </c:layout>
      <c:txPr>
        <a:bodyPr/>
        <a:lstStyle/>
        <a:p>
          <a:pPr>
            <a:defRPr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pl-PL"/>
        </a:p>
      </c:txPr>
    </c:legend>
    <c:plotVisOnly val="1"/>
    <c:dispBlanksAs val="zero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autoTitleDeleted val="1"/>
    <c:view3D>
      <c:rAngAx val="1"/>
    </c:view3D>
    <c:plotArea>
      <c:layout/>
      <c:bar3DChart>
        <c:barDir val="bar"/>
        <c:grouping val="clustered"/>
        <c:ser>
          <c:idx val="0"/>
          <c:order val="0"/>
          <c:tx>
            <c:v>Zmiana liczebności populacji</c:v>
          </c:tx>
          <c:spPr>
            <a:solidFill>
              <a:schemeClr val="accent6"/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pl-PL"/>
              </a:p>
            </c:txPr>
            <c:showCatName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Etap_1!$A$108:$A$122</c:f>
              <c:strCache>
                <c:ptCount val="15"/>
                <c:pt idx="0">
                  <c:v>0-4</c:v>
                </c:pt>
                <c:pt idx="1">
                  <c:v>5-9</c:v>
                </c:pt>
                <c:pt idx="2">
                  <c:v>10-14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60-64</c:v>
                </c:pt>
                <c:pt idx="13">
                  <c:v>65-69</c:v>
                </c:pt>
                <c:pt idx="14">
                  <c:v>70 i więcej</c:v>
                </c:pt>
              </c:strCache>
            </c:strRef>
          </c:cat>
          <c:val>
            <c:numRef>
              <c:f>Etap_1!$D$108:$D$122</c:f>
              <c:numCache>
                <c:formatCode>General</c:formatCode>
                <c:ptCount val="15"/>
                <c:pt idx="0">
                  <c:v>-128</c:v>
                </c:pt>
                <c:pt idx="1">
                  <c:v>70</c:v>
                </c:pt>
                <c:pt idx="2">
                  <c:v>-298</c:v>
                </c:pt>
                <c:pt idx="3">
                  <c:v>-446</c:v>
                </c:pt>
                <c:pt idx="4">
                  <c:v>-393</c:v>
                </c:pt>
                <c:pt idx="5">
                  <c:v>-363</c:v>
                </c:pt>
                <c:pt idx="6">
                  <c:v>601</c:v>
                </c:pt>
                <c:pt idx="7">
                  <c:v>544</c:v>
                </c:pt>
                <c:pt idx="8">
                  <c:v>223</c:v>
                </c:pt>
                <c:pt idx="9">
                  <c:v>-380</c:v>
                </c:pt>
                <c:pt idx="10">
                  <c:v>-506</c:v>
                </c:pt>
                <c:pt idx="11">
                  <c:v>280</c:v>
                </c:pt>
                <c:pt idx="12">
                  <c:v>810</c:v>
                </c:pt>
                <c:pt idx="13">
                  <c:v>437</c:v>
                </c:pt>
                <c:pt idx="14">
                  <c:v>-21</c:v>
                </c:pt>
              </c:numCache>
            </c:numRef>
          </c:val>
        </c:ser>
        <c:shape val="box"/>
        <c:axId val="132739072"/>
        <c:axId val="132740608"/>
        <c:axId val="0"/>
      </c:bar3DChart>
      <c:catAx>
        <c:axId val="132739072"/>
        <c:scaling>
          <c:orientation val="minMax"/>
        </c:scaling>
        <c:delete val="1"/>
        <c:axPos val="l"/>
        <c:numFmt formatCode="General" sourceLinked="0"/>
        <c:tickLblPos val="none"/>
        <c:crossAx val="132740608"/>
        <c:crosses val="autoZero"/>
        <c:auto val="1"/>
        <c:lblAlgn val="ctr"/>
        <c:lblOffset val="100"/>
      </c:catAx>
      <c:valAx>
        <c:axId val="132740608"/>
        <c:scaling>
          <c:orientation val="minMax"/>
        </c:scaling>
        <c:axPos val="b"/>
        <c:majorGridlines/>
        <c:numFmt formatCode="General" sourceLinked="1"/>
        <c:tickLblPos val="nextTo"/>
        <c:txPr>
          <a:bodyPr/>
          <a:lstStyle/>
          <a:p>
            <a:pPr>
              <a:defRPr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pl-PL"/>
          </a:p>
        </c:txPr>
        <c:crossAx val="132739072"/>
        <c:crosses val="autoZero"/>
        <c:crossBetween val="between"/>
      </c:valAx>
    </c:plotArea>
    <c:legend>
      <c:legendPos val="b"/>
      <c:txPr>
        <a:bodyPr/>
        <a:lstStyle/>
        <a:p>
          <a:pPr>
            <a:defRPr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pl-PL"/>
        </a:p>
      </c:txPr>
    </c:legend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19"/>
  <c:chart>
    <c:plotArea>
      <c:layout/>
      <c:lineChart>
        <c:grouping val="standard"/>
        <c:ser>
          <c:idx val="0"/>
          <c:order val="0"/>
          <c:tx>
            <c:strRef>
              <c:f>Etap_1!$A$161</c:f>
              <c:strCache>
                <c:ptCount val="1"/>
                <c:pt idx="0">
                  <c:v>Wojewóztwo zachodniopomorskie</c:v>
                </c:pt>
              </c:strCache>
            </c:strRef>
          </c:tx>
          <c:spPr>
            <a:ln w="34925">
              <a:solidFill>
                <a:schemeClr val="tx2"/>
              </a:solidFill>
            </a:ln>
          </c:spPr>
          <c:marker>
            <c:symbol val="diamond"/>
            <c:size val="6"/>
            <c:spPr>
              <a:solidFill>
                <a:schemeClr val="tx2"/>
              </a:solidFill>
              <a:ln>
                <a:solidFill>
                  <a:schemeClr val="tx2"/>
                </a:solidFill>
              </a:ln>
            </c:spPr>
          </c:marker>
          <c:dLbls>
            <c:spPr>
              <a:noFill/>
              <a:ln>
                <a:noFill/>
              </a:ln>
              <a:effectLst/>
            </c:spPr>
            <c:dLblPos val="b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Etap_1!$B$160:$E$160</c:f>
              <c:strCache>
                <c:ptCount val="4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</c:strCache>
            </c:strRef>
          </c:cat>
          <c:val>
            <c:numRef>
              <c:f>Etap_1!$B$161:$E$161</c:f>
              <c:numCache>
                <c:formatCode>General</c:formatCode>
                <c:ptCount val="4"/>
                <c:pt idx="0">
                  <c:v>17.100000000000001</c:v>
                </c:pt>
                <c:pt idx="1">
                  <c:v>17.8</c:v>
                </c:pt>
                <c:pt idx="2">
                  <c:v>17.600000000000001</c:v>
                </c:pt>
                <c:pt idx="3">
                  <c:v>18.2</c:v>
                </c:pt>
              </c:numCache>
            </c:numRef>
          </c:val>
        </c:ser>
        <c:ser>
          <c:idx val="1"/>
          <c:order val="1"/>
          <c:tx>
            <c:strRef>
              <c:f>Etap_1!$A$162</c:f>
              <c:strCache>
                <c:ptCount val="1"/>
                <c:pt idx="0">
                  <c:v>Powiat świdwiński</c:v>
                </c:pt>
              </c:strCache>
            </c:strRef>
          </c:tx>
          <c:spPr>
            <a:ln w="34925">
              <a:solidFill>
                <a:schemeClr val="accent6"/>
              </a:solidFill>
            </a:ln>
          </c:spPr>
          <c:marker>
            <c:symbol val="diamond"/>
            <c:size val="6"/>
            <c:spPr>
              <a:solidFill>
                <a:schemeClr val="accent6"/>
              </a:solidFill>
              <a:ln>
                <a:solidFill>
                  <a:schemeClr val="accent6"/>
                </a:solidFill>
              </a:ln>
            </c:spPr>
          </c:marker>
          <c:dLbls>
            <c:spPr>
              <a:noFill/>
              <a:ln>
                <a:noFill/>
              </a:ln>
              <a:effectLst/>
            </c:spPr>
            <c:dLblPos val="b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Etap_1!$B$160:$E$160</c:f>
              <c:strCache>
                <c:ptCount val="4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</c:strCache>
            </c:strRef>
          </c:cat>
          <c:val>
            <c:numRef>
              <c:f>Etap_1!$B$162:$E$162</c:f>
              <c:numCache>
                <c:formatCode>General</c:formatCode>
                <c:ptCount val="4"/>
                <c:pt idx="0">
                  <c:v>25.4</c:v>
                </c:pt>
                <c:pt idx="1">
                  <c:v>27.5</c:v>
                </c:pt>
                <c:pt idx="2">
                  <c:v>26.2</c:v>
                </c:pt>
                <c:pt idx="3">
                  <c:v>26.7</c:v>
                </c:pt>
              </c:numCache>
            </c:numRef>
          </c:val>
        </c:ser>
        <c:marker val="1"/>
        <c:axId val="132770048"/>
        <c:axId val="132849664"/>
      </c:lineChart>
      <c:catAx>
        <c:axId val="132770048"/>
        <c:scaling>
          <c:orientation val="minMax"/>
        </c:scaling>
        <c:axPos val="b"/>
        <c:numFmt formatCode="General" sourceLinked="0"/>
        <c:tickLblPos val="nextTo"/>
        <c:crossAx val="132849664"/>
        <c:crosses val="autoZero"/>
        <c:auto val="1"/>
        <c:lblAlgn val="ctr"/>
        <c:lblOffset val="100"/>
      </c:catAx>
      <c:valAx>
        <c:axId val="132849664"/>
        <c:scaling>
          <c:orientation val="minMax"/>
        </c:scaling>
        <c:axPos val="l"/>
        <c:majorGridlines/>
        <c:numFmt formatCode="General" sourceLinked="1"/>
        <c:tickLblPos val="nextTo"/>
        <c:crossAx val="132770048"/>
        <c:crosses val="autoZero"/>
        <c:crossBetween val="between"/>
      </c:valAx>
    </c:plotArea>
    <c:legend>
      <c:legendPos val="b"/>
    </c:legend>
    <c:plotVisOnly val="1"/>
    <c:dispBlanksAs val="gap"/>
  </c:chart>
  <c:spPr>
    <a:ln>
      <a:noFill/>
    </a:ln>
  </c:spPr>
  <c:txPr>
    <a:bodyPr/>
    <a:lstStyle/>
    <a:p>
      <a:pPr>
        <a:defRPr b="1">
          <a:latin typeface="Times New Roman" panose="02020603050405020304" pitchFamily="18" charset="0"/>
          <a:cs typeface="Times New Roman" panose="02020603050405020304" pitchFamily="18" charset="0"/>
        </a:defRPr>
      </a:pPr>
      <a:endParaRPr lang="pl-PL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19"/>
  <c:chart>
    <c:plotArea>
      <c:layout/>
      <c:lineChart>
        <c:grouping val="standard"/>
        <c:ser>
          <c:idx val="0"/>
          <c:order val="0"/>
          <c:tx>
            <c:strRef>
              <c:f>Etap_1!$A$188</c:f>
              <c:strCache>
                <c:ptCount val="1"/>
                <c:pt idx="0">
                  <c:v>Wojewóztwo zachodniopomorskie</c:v>
                </c:pt>
              </c:strCache>
            </c:strRef>
          </c:tx>
          <c:spPr>
            <a:ln w="34925">
              <a:solidFill>
                <a:schemeClr val="tx2"/>
              </a:solidFill>
            </a:ln>
          </c:spPr>
          <c:marker>
            <c:symbol val="diamond"/>
            <c:size val="6"/>
            <c:spPr>
              <a:solidFill>
                <a:schemeClr val="tx2"/>
              </a:solidFill>
              <a:ln>
                <a:solidFill>
                  <a:schemeClr val="tx2"/>
                </a:solidFill>
              </a:ln>
            </c:spPr>
          </c:marker>
          <c:dLbls>
            <c:spPr>
              <a:noFill/>
              <a:ln>
                <a:noFill/>
              </a:ln>
              <a:effectLst/>
            </c:spPr>
            <c:dLblPos val="b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Etap_1!$B$187:$E$187</c:f>
              <c:strCache>
                <c:ptCount val="4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</c:strCache>
            </c:strRef>
          </c:cat>
          <c:val>
            <c:numRef>
              <c:f>Etap_1!$B$188:$E$188</c:f>
              <c:numCache>
                <c:formatCode>General</c:formatCode>
                <c:ptCount val="4"/>
                <c:pt idx="0">
                  <c:v>10.8</c:v>
                </c:pt>
                <c:pt idx="1">
                  <c:v>10.4</c:v>
                </c:pt>
                <c:pt idx="2">
                  <c:v>9.7000000000000011</c:v>
                </c:pt>
                <c:pt idx="3">
                  <c:v>9.7000000000000011</c:v>
                </c:pt>
              </c:numCache>
            </c:numRef>
          </c:val>
        </c:ser>
        <c:ser>
          <c:idx val="1"/>
          <c:order val="1"/>
          <c:tx>
            <c:strRef>
              <c:f>Etap_1!$A$189</c:f>
              <c:strCache>
                <c:ptCount val="1"/>
                <c:pt idx="0">
                  <c:v>Powiat świdwiński</c:v>
                </c:pt>
              </c:strCache>
            </c:strRef>
          </c:tx>
          <c:spPr>
            <a:ln w="34925">
              <a:solidFill>
                <a:schemeClr val="accent6"/>
              </a:solidFill>
            </a:ln>
          </c:spPr>
          <c:marker>
            <c:symbol val="diamond"/>
            <c:size val="6"/>
            <c:spPr>
              <a:solidFill>
                <a:schemeClr val="accent6"/>
              </a:solidFill>
              <a:ln>
                <a:solidFill>
                  <a:schemeClr val="accent6"/>
                </a:solidFill>
              </a:ln>
            </c:spPr>
          </c:marker>
          <c:dLbls>
            <c:dLbl>
              <c:idx val="0"/>
              <c:numFmt formatCode="0.0" sourceLinked="0"/>
              <c:spPr/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</c:dLbl>
            <c:spPr>
              <a:noFill/>
              <a:ln>
                <a:noFill/>
              </a:ln>
              <a:effectLst/>
            </c:spPr>
            <c:dLblPos val="b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Etap_1!$B$187:$E$187</c:f>
              <c:strCache>
                <c:ptCount val="4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</c:strCache>
            </c:strRef>
          </c:cat>
          <c:val>
            <c:numRef>
              <c:f>Etap_1!$B$189:$E$189</c:f>
              <c:numCache>
                <c:formatCode>General</c:formatCode>
                <c:ptCount val="4"/>
                <c:pt idx="0">
                  <c:v>22</c:v>
                </c:pt>
                <c:pt idx="1">
                  <c:v>20.7</c:v>
                </c:pt>
                <c:pt idx="2">
                  <c:v>18.600000000000001</c:v>
                </c:pt>
                <c:pt idx="3">
                  <c:v>19.399999999999999</c:v>
                </c:pt>
              </c:numCache>
            </c:numRef>
          </c:val>
        </c:ser>
        <c:marker val="1"/>
        <c:axId val="132871296"/>
        <c:axId val="132872832"/>
      </c:lineChart>
      <c:catAx>
        <c:axId val="132871296"/>
        <c:scaling>
          <c:orientation val="minMax"/>
        </c:scaling>
        <c:axPos val="b"/>
        <c:numFmt formatCode="General" sourceLinked="0"/>
        <c:tickLblPos val="nextTo"/>
        <c:crossAx val="132872832"/>
        <c:crosses val="autoZero"/>
        <c:auto val="1"/>
        <c:lblAlgn val="ctr"/>
        <c:lblOffset val="100"/>
      </c:catAx>
      <c:valAx>
        <c:axId val="132872832"/>
        <c:scaling>
          <c:orientation val="minMax"/>
        </c:scaling>
        <c:axPos val="l"/>
        <c:majorGridlines/>
        <c:numFmt formatCode="General" sourceLinked="1"/>
        <c:tickLblPos val="nextTo"/>
        <c:crossAx val="132871296"/>
        <c:crosses val="autoZero"/>
        <c:crossBetween val="between"/>
      </c:valAx>
    </c:plotArea>
    <c:legend>
      <c:legendPos val="b"/>
    </c:legend>
    <c:plotVisOnly val="1"/>
    <c:dispBlanksAs val="gap"/>
  </c:chart>
  <c:spPr>
    <a:ln>
      <a:noFill/>
    </a:ln>
  </c:spPr>
  <c:txPr>
    <a:bodyPr/>
    <a:lstStyle/>
    <a:p>
      <a:pPr>
        <a:defRPr b="1">
          <a:latin typeface="Times New Roman" panose="02020603050405020304" pitchFamily="18" charset="0"/>
          <a:cs typeface="Times New Roman" panose="02020603050405020304" pitchFamily="18" charset="0"/>
        </a:defRPr>
      </a:pPr>
      <a:endParaRPr lang="pl-PL"/>
    </a:p>
  </c:txPr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8A4B4-96E4-43DB-9EA4-1E6ADBDFB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26</Pages>
  <Words>5196</Words>
  <Characters>31180</Characters>
  <Application>Microsoft Office Word</Application>
  <DocSecurity>0</DocSecurity>
  <Lines>259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Drelich</dc:creator>
  <cp:keywords/>
  <dc:description/>
  <cp:lastModifiedBy>Łukasz Pugacz</cp:lastModifiedBy>
  <cp:revision>9</cp:revision>
  <dcterms:created xsi:type="dcterms:W3CDTF">2015-01-13T11:13:00Z</dcterms:created>
  <dcterms:modified xsi:type="dcterms:W3CDTF">2016-03-18T07:21:00Z</dcterms:modified>
</cp:coreProperties>
</file>