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</w:pPr>
      <w:r>
        <w:rPr>
          <w:sz w:val="26"/>
          <w:szCs w:val="26"/>
        </w:rPr>
        <w:t>W Y K A Z     N I E R U C H O M O Ś C I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sz w:val="26"/>
          <w:szCs w:val="26"/>
        </w:rPr>
        <w:tab/>
        <w:t xml:space="preserve">Na podstawie art. 35 ust. 1 ustawy z dnia 21 sierpnia 1997r. o gospodarce nieruchomościami (t. j. Dz. U. z 2010r. Nr 102, poz. 651 z póź. zm.) Zarząd Powiatu Świdwińskiego podaje do publicznej wiadomości, iż zostają przeznaczone do oddania w najem </w:t>
      </w:r>
      <w:r>
        <w:rPr>
          <w:b/>
          <w:sz w:val="26"/>
          <w:szCs w:val="26"/>
        </w:rPr>
        <w:t>lokale użytkowe stanowiące własność Powiatu Świdwińskiego, znajdujące się w budynku posadowionym na działce nr 59/9 o pow. 0,2703 ha położonej w obrębie 012 miasta Świdwin, przy ul. Drawskiej 38.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732"/>
        <w:gridCol w:w="7401"/>
        <w:gridCol w:w="1634"/>
      </w:tblGrid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type="dxa" w:w="7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6"/>
                <w:szCs w:val="26"/>
              </w:rPr>
              <w:t xml:space="preserve">Opis i oznaczenie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6"/>
                <w:szCs w:val="26"/>
              </w:rPr>
              <w:t>Miesięczna  opłata za najem,</w:t>
            </w:r>
          </w:p>
          <w:p>
            <w:pPr>
              <w:pStyle w:val="style0"/>
              <w:jc w:val="center"/>
            </w:pPr>
            <w:r>
              <w:rPr>
                <w:b/>
                <w:sz w:val="26"/>
                <w:szCs w:val="26"/>
              </w:rPr>
              <w:t>cena brutto</w:t>
            </w:r>
          </w:p>
        </w:tc>
      </w:tr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 w:val="false"/>
                <w:bCs w:val="false"/>
                <w:sz w:val="26"/>
                <w:szCs w:val="26"/>
              </w:rPr>
              <w:t>1.</w:t>
            </w:r>
          </w:p>
        </w:tc>
        <w:tc>
          <w:tcPr>
            <w:tcW w:type="dxa" w:w="7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 w:val="false"/>
                <w:bCs w:val="false"/>
                <w:sz w:val="26"/>
                <w:szCs w:val="26"/>
              </w:rPr>
              <w:t>2.</w:t>
            </w:r>
          </w:p>
        </w:tc>
        <w:tc>
          <w:tcPr>
            <w:tcW w:type="dxa" w:w="1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 w:val="false"/>
                <w:bCs w:val="false"/>
                <w:sz w:val="26"/>
                <w:szCs w:val="26"/>
              </w:rPr>
              <w:t>3.</w:t>
            </w:r>
          </w:p>
        </w:tc>
      </w:tr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type="dxa" w:w="7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Lokal w suterenie do adaptacji (pom. nr P-07) o pow. 17,36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type="dxa" w:w="1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149,47 zł</w:t>
            </w:r>
          </w:p>
        </w:tc>
      </w:tr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type="dxa" w:w="7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Lokal w suterenie do adaptacji (pom. nr P-08) o pow. 20,76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type="dxa" w:w="1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178,74 zł</w:t>
            </w:r>
          </w:p>
        </w:tc>
      </w:tr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type="dxa" w:w="7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Lokal w suterenie do adaptacji (pom. nr/nr P-10, P-11 i P-13) o łącznej pow. 48,75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type="dxa" w:w="1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419,74 zł</w:t>
            </w:r>
          </w:p>
        </w:tc>
      </w:tr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type="dxa" w:w="7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Lokal w suterenie do adaptacji (pom. nr/nr P-14 i P-15) o łącznej pow. 54,81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type="dxa" w:w="1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471,91 zł</w:t>
            </w:r>
          </w:p>
        </w:tc>
      </w:tr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type="dxa" w:w="7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Lokal na parterze (pom. nr 0-23) o pow. 12,52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type="dxa" w:w="1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538,99 zł</w:t>
            </w:r>
          </w:p>
        </w:tc>
      </w:tr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type="dxa" w:w="7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Lokal na parterze (pom. nr 0-29) o pow. 11,45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type="dxa" w:w="1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492,92 zł</w:t>
            </w:r>
          </w:p>
        </w:tc>
      </w:tr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type="dxa" w:w="7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Lokal na I piętrze (pom. nr 1-02) o pow. 20,01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type="dxa" w:w="1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861,43 zł</w:t>
            </w:r>
          </w:p>
        </w:tc>
      </w:tr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type="dxa" w:w="7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Lokal na I piętrze (pom. nr/nr 1-03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, 1-03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i 1-04) o łącznej pow. 31,73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type="dxa" w:w="1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1.365,98 zł</w:t>
            </w:r>
          </w:p>
        </w:tc>
      </w:tr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type="dxa" w:w="7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Lokal na I piętrze (pom. nr/nr 1-07 i 1-08) o łącznej pow. 24,64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type="dxa" w:w="1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1.060,75 zł</w:t>
            </w:r>
          </w:p>
        </w:tc>
      </w:tr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type="dxa" w:w="7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Lokal na I piętrze (pom. nr 1-09) o pow. 25,61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type="dxa" w:w="1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1.102,51 zł</w:t>
            </w:r>
          </w:p>
        </w:tc>
      </w:tr>
      <w:tr>
        <w:trPr>
          <w:cantSplit w:val="false"/>
        </w:trPr>
        <w:tc>
          <w:tcPr>
            <w:tcW w:type="dxa" w:w="7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type="dxa" w:w="7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Lokal na I piętrze (pom. nr 1-20 i 1-21) o łącznej pow. 26,90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type="dxa" w:w="1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1.158,05 zł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6"/>
          <w:szCs w:val="26"/>
          <w:u w:val="single"/>
        </w:rPr>
        <w:t>Adnotacje:</w:t>
      </w:r>
    </w:p>
    <w:p>
      <w:pPr>
        <w:pStyle w:val="style0"/>
        <w:jc w:val="both"/>
      </w:pPr>
      <w:r>
        <w:rPr/>
      </w:r>
    </w:p>
    <w:p>
      <w:pPr>
        <w:pStyle w:val="style25"/>
        <w:numPr>
          <w:ilvl w:val="0"/>
          <w:numId w:val="1"/>
        </w:numPr>
        <w:tabs>
          <w:tab w:leader="none" w:pos="1068" w:val="left"/>
          <w:tab w:leader="none" w:pos="1428" w:val="left"/>
          <w:tab w:leader="none" w:pos="1440" w:val="left"/>
        </w:tabs>
        <w:spacing w:after="0" w:before="0" w:line="100" w:lineRule="atLeast"/>
        <w:ind w:hanging="0" w:left="360" w:right="0"/>
        <w:jc w:val="both"/>
      </w:pPr>
      <w:r>
        <w:rPr>
          <w:sz w:val="26"/>
          <w:szCs w:val="26"/>
        </w:rPr>
        <w:t>Wykaz nieruchomości publikowany będzie w dniach od 01.03.2013r. do 22.03.2013r. na tablicy ogłoszeń Starostwa Powiatowego w Świdwinie, a także urzędów poszczególnych miast i gmin powiatu Świdwińskiego oraz na stronie internetowej www.bip.powiatswidwinski.pl, ponadto w prasie lokalnej.</w:t>
      </w:r>
    </w:p>
    <w:p>
      <w:pPr>
        <w:pStyle w:val="style25"/>
        <w:spacing w:after="0" w:before="0" w:line="100" w:lineRule="atLeast"/>
        <w:ind w:hanging="0" w:left="360" w:right="0"/>
        <w:jc w:val="both"/>
      </w:pPr>
      <w:r>
        <w:rPr/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720" w:val="left"/>
        </w:tabs>
        <w:spacing w:after="0" w:before="0" w:line="100" w:lineRule="atLeast"/>
        <w:jc w:val="left"/>
      </w:pPr>
      <w:r>
        <w:rPr>
          <w:sz w:val="26"/>
          <w:szCs w:val="26"/>
        </w:rPr>
        <w:t>Najem na czas nieoznaczony z  przeznaczeniem na dzialalność w zakresie ochrony zdrowia,  dopuszczalne inne usługi nieuciążliwe.</w:t>
      </w:r>
    </w:p>
    <w:p>
      <w:pPr>
        <w:pStyle w:val="style0"/>
        <w:tabs>
          <w:tab w:leader="none" w:pos="708" w:val="left"/>
          <w:tab w:leader="none" w:pos="720" w:val="left"/>
        </w:tabs>
        <w:spacing w:after="0" w:before="0" w:line="100" w:lineRule="atLeast"/>
        <w:jc w:val="left"/>
      </w:pPr>
      <w:r>
        <w:rPr/>
      </w:r>
    </w:p>
    <w:p>
      <w:pPr>
        <w:pStyle w:val="style25"/>
        <w:numPr>
          <w:ilvl w:val="0"/>
          <w:numId w:val="1"/>
        </w:numPr>
        <w:tabs>
          <w:tab w:leader="none" w:pos="1068" w:val="left"/>
          <w:tab w:leader="none" w:pos="1428" w:val="left"/>
          <w:tab w:leader="none" w:pos="1440" w:val="left"/>
        </w:tabs>
        <w:spacing w:after="0" w:before="0" w:line="100" w:lineRule="atLeast"/>
        <w:ind w:hanging="0" w:left="360" w:right="0"/>
        <w:jc w:val="both"/>
      </w:pPr>
      <w:r>
        <w:rPr>
          <w:sz w:val="26"/>
          <w:szCs w:val="26"/>
        </w:rPr>
        <w:t>Szczegółowych informacji dotyczących w/w wykazu można zasięgnąć w Wydziale Geodezji i Gospodarki Nieruchomościami Starostwa Powiatowego w Świdwinie przy ul. Kołobrzeskiej 43 (pokój nr 11), lub telefonicznie pod numerem (094) 36-50-220.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  <w:tab/>
        <w:tab/>
        <w:tab/>
        <w:tab/>
        <w:tab/>
        <w:tab/>
        <w:tab/>
        <w:tab/>
        <w:t xml:space="preserve">       Starosta </w:t>
      </w:r>
    </w:p>
    <w:p>
      <w:pPr>
        <w:pStyle w:val="style0"/>
      </w:pPr>
      <w:r>
        <w:rPr/>
        <w:tab/>
        <w:tab/>
        <w:tab/>
        <w:tab/>
        <w:tab/>
        <w:tab/>
        <w:tab/>
        <w:tab/>
        <w:tab/>
        <w:tab/>
        <w:t>Mirosław Majka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6"/>
          <w:szCs w:val="26"/>
        </w:rPr>
        <w:t>Ś</w:t>
      </w:r>
      <w:r>
        <w:rPr>
          <w:rFonts w:ascii="Times New Roman" w:hAnsi="Times New Roman"/>
          <w:sz w:val="20"/>
          <w:szCs w:val="20"/>
        </w:rPr>
        <w:t>widwin, dnia 28.02.2013r.</w:t>
      </w:r>
    </w:p>
    <w:p>
      <w:pPr>
        <w:pStyle w:val="style0"/>
      </w:pPr>
      <w:r>
        <w:rPr>
          <w:b w:val="false"/>
          <w:sz w:val="26"/>
          <w:szCs w:val="26"/>
        </w:rPr>
        <w:t xml:space="preserve">GG.6845.29.2012.2013, </w:t>
      </w:r>
      <w:r>
        <w:rPr/>
        <w:t>Sporz. C.Sierputowicz</w:t>
      </w:r>
    </w:p>
    <w:sectPr>
      <w:type w:val="nextPage"/>
      <w:pgSz w:h="16838" w:w="11906"/>
      <w:pgMar w:bottom="1418" w:footer="0" w:gutter="0" w:header="0" w:left="1418" w:right="1418" w:top="1418"/>
      <w:pgNumType w:fmt="decimal"/>
      <w:formProt w:val="false"/>
      <w:textDirection w:val="lrTb"/>
      <w:docGrid w:charSpace="2047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1800" w:val="num"/>
        </w:tabs>
        <w:ind w:hanging="360" w:left="1800"/>
      </w:pPr>
    </w:lvl>
    <w:lvl w:ilvl="3">
      <w:start w:val="1"/>
      <w:numFmt w:val="decimal"/>
      <w:lvlText w:val="%2.%3.%4."/>
      <w:lvlJc w:val="left"/>
      <w:pPr>
        <w:tabs>
          <w:tab w:pos="2160" w:val="num"/>
        </w:tabs>
        <w:ind w:hanging="360" w:left="2160"/>
      </w:pPr>
    </w:lvl>
    <w:lvl w:ilvl="4">
      <w:start w:val="1"/>
      <w:numFmt w:val="decimal"/>
      <w:lvlText w:val="%2.%3.%4.%5."/>
      <w:lvlJc w:val="left"/>
      <w:pPr>
        <w:tabs>
          <w:tab w:pos="2520" w:val="num"/>
        </w:tabs>
        <w:ind w:hanging="360" w:left="2520"/>
      </w:pPr>
    </w:lvl>
    <w:lvl w:ilvl="5">
      <w:start w:val="1"/>
      <w:numFmt w:val="decimal"/>
      <w:lvlText w:val="%2.%3.%4.%5.%6."/>
      <w:lvlJc w:val="left"/>
      <w:pPr>
        <w:tabs>
          <w:tab w:pos="2880" w:val="num"/>
        </w:tabs>
        <w:ind w:hanging="360" w:left="2880"/>
      </w:pPr>
    </w:lvl>
    <w:lvl w:ilvl="6">
      <w:start w:val="1"/>
      <w:numFmt w:val="decimal"/>
      <w:lvlText w:val="%2.%3.%4.%5.%6.%7."/>
      <w:lvlJc w:val="left"/>
      <w:pPr>
        <w:tabs>
          <w:tab w:pos="3240" w:val="num"/>
        </w:tabs>
        <w:ind w:hanging="360" w:left="3240"/>
      </w:pPr>
    </w:lvl>
    <w:lvl w:ilvl="7">
      <w:start w:val="1"/>
      <w:numFmt w:val="decimal"/>
      <w:lvlText w:val="%2.%3.%4.%5.%6.%7.%8."/>
      <w:lvlJc w:val="left"/>
      <w:pPr>
        <w:tabs>
          <w:tab w:pos="3600" w:val="num"/>
        </w:tabs>
        <w:ind w:hanging="360" w:left="3600"/>
      </w:pPr>
    </w:lvl>
    <w:lvl w:ilvl="8">
      <w:start w:val="1"/>
      <w:numFmt w:val="decimal"/>
      <w:lvlText w:val="%2.%3.%4.%5.%6.%7.%8.%9."/>
      <w:lvlJc w:val="left"/>
      <w:pPr>
        <w:tabs>
          <w:tab w:pos="3960" w:val="num"/>
        </w:tabs>
        <w:ind w:hanging="360" w:left="39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line="100" w:lineRule="atLeast"/>
    </w:pPr>
    <w:rPr>
      <w:rFonts w:ascii="Times New Roman" w:cs="Times New Roman" w:eastAsia="Times New Roman" w:hAnsi="Times New Roman"/>
      <w:color w:val="00000A"/>
      <w:sz w:val="20"/>
      <w:szCs w:val="20"/>
      <w:lang w:bidi="ar-SA" w:eastAsia="pl-PL" w:val="pl-PL"/>
    </w:rPr>
  </w:style>
  <w:style w:styleId="style1" w:type="paragraph">
    <w:name w:val="Nagłówek 1"/>
    <w:basedOn w:val="style0"/>
    <w:next w:val="style19"/>
    <w:pPr>
      <w:keepNext/>
      <w:jc w:val="both"/>
    </w:pPr>
    <w:rPr>
      <w:b/>
      <w:bCs/>
      <w:sz w:val="28"/>
      <w:szCs w:val="23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eastAsia="Times New Roman"/>
      <w:lang w:eastAsia="pl-PL"/>
    </w:rPr>
  </w:style>
  <w:style w:styleId="style17" w:type="character">
    <w:name w:val="Tytuł Znak"/>
    <w:basedOn w:val="style15"/>
    <w:next w:val="style17"/>
    <w:rPr>
      <w:rFonts w:eastAsia="Times New Roman"/>
      <w:b/>
      <w:lang w:eastAsia="ar-SA"/>
    </w:rPr>
  </w:style>
  <w:style w:styleId="style18" w:type="paragraph">
    <w:name w:val="Nagłówek"/>
    <w:basedOn w:val="style0"/>
    <w:next w:val="style19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Tytuł"/>
    <w:basedOn w:val="style0"/>
    <w:next w:val="style24"/>
    <w:pPr>
      <w:suppressAutoHyphens w:val="true"/>
      <w:jc w:val="center"/>
    </w:pPr>
    <w:rPr>
      <w:b/>
      <w:bCs/>
      <w:sz w:val="28"/>
      <w:szCs w:val="36"/>
      <w:lang w:eastAsia="ar-SA"/>
    </w:rPr>
  </w:style>
  <w:style w:styleId="style24" w:type="paragraph">
    <w:name w:val="Podtytuł"/>
    <w:basedOn w:val="style18"/>
    <w:next w:val="style19"/>
    <w:pPr>
      <w:jc w:val="center"/>
    </w:pPr>
    <w:rPr>
      <w:i/>
      <w:iCs/>
      <w:sz w:val="28"/>
      <w:szCs w:val="28"/>
    </w:rPr>
  </w:style>
  <w:style w:styleId="style25" w:type="paragraph">
    <w:name w:val="Tekst podstawowy 21"/>
    <w:basedOn w:val="style0"/>
    <w:next w:val="style25"/>
    <w:pPr>
      <w:suppressAutoHyphens w:val="true"/>
      <w:spacing w:after="120" w:before="0" w:line="480" w:lineRule="auto"/>
    </w:pPr>
    <w:rPr>
      <w:lang w:eastAsia="ar-SA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Zawartość tabeli"/>
    <w:basedOn w:val="style0"/>
    <w:next w:val="style27"/>
    <w:pPr>
      <w:suppressLineNumbers/>
    </w:pPr>
    <w:rPr/>
  </w:style>
  <w:style w:styleId="style28" w:type="paragraph">
    <w:name w:val="Nagłówek tabeli"/>
    <w:basedOn w:val="style27"/>
    <w:next w:val="style28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2013-02-27T07:37:00.00Z</dcterms:created>
  <dc:creator>user</dc:creator>
  <cp:lastModifiedBy>user</cp:lastModifiedBy>
  <cp:lastPrinted>2013-02-27T09:21:21.00Z</cp:lastPrinted>
  <dcterms:modified xsi:type="dcterms:W3CDTF">2013-02-27T07:38:00.00Z</dcterms:modified>
  <cp:revision>3</cp:revision>
</cp:coreProperties>
</file>