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B" w:rsidRDefault="00672E7E">
      <w:pPr>
        <w:pStyle w:val="Domylnie"/>
      </w:pPr>
      <w:r>
        <w:rPr>
          <w:sz w:val="22"/>
          <w:szCs w:val="22"/>
        </w:rPr>
        <w:t>GG.6840.2.6.2014</w:t>
      </w:r>
    </w:p>
    <w:p w:rsidR="0077069B" w:rsidRDefault="00672E7E">
      <w:pPr>
        <w:pStyle w:val="Tytu"/>
      </w:pPr>
      <w:r>
        <w:rPr>
          <w:sz w:val="22"/>
          <w:szCs w:val="22"/>
        </w:rPr>
        <w:t>W Y K A Z     N I E R U C H O M O Ś C I</w:t>
      </w:r>
    </w:p>
    <w:p w:rsidR="0077069B" w:rsidRDefault="00672E7E">
      <w:pPr>
        <w:pStyle w:val="Domylnie"/>
        <w:jc w:val="both"/>
      </w:pPr>
      <w:r>
        <w:rPr>
          <w:sz w:val="22"/>
          <w:szCs w:val="22"/>
        </w:rPr>
        <w:tab/>
        <w:t xml:space="preserve">Na podstawie art. 35 ust. 1 ustawy z dnia 21 sierpnia 1997r. o gospodarce nieruchomościami (t. j. Dz. U. z 2014r. , poz. 518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 Starosta Powiatu Świdwińskiego podaje do publicznej wiadomośc</w:t>
      </w:r>
      <w:r>
        <w:rPr>
          <w:sz w:val="22"/>
          <w:szCs w:val="22"/>
        </w:rPr>
        <w:t xml:space="preserve">i, iż zostaje przeznaczona do sprzedaży </w:t>
      </w:r>
      <w:r>
        <w:rPr>
          <w:b/>
          <w:sz w:val="22"/>
          <w:szCs w:val="22"/>
        </w:rPr>
        <w:t>nieruchomość stanowiąca własność Skarbu Państwa</w:t>
      </w:r>
      <w:r>
        <w:rPr>
          <w:sz w:val="22"/>
          <w:szCs w:val="22"/>
        </w:rPr>
        <w:t>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77"/>
        <w:gridCol w:w="2330"/>
        <w:gridCol w:w="2900"/>
        <w:gridCol w:w="2441"/>
        <w:gridCol w:w="1148"/>
      </w:tblGrid>
      <w:tr w:rsidR="0077069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Adres i oznaczenie nieruchomości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Cena wywoławcza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7069B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</w:tr>
      <w:tr w:rsidR="0077069B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Nagwek1"/>
              <w:numPr>
                <w:ilvl w:val="0"/>
                <w:numId w:val="1"/>
              </w:numPr>
              <w:jc w:val="center"/>
            </w:pPr>
            <w:r>
              <w:rPr>
                <w:sz w:val="22"/>
                <w:szCs w:val="22"/>
              </w:rPr>
              <w:t>działka nr 11pow. 2,5452 ha</w:t>
            </w:r>
          </w:p>
          <w:p w:rsidR="0077069B" w:rsidRDefault="00672E7E">
            <w:pPr>
              <w:pStyle w:val="Nagwek1"/>
              <w:numPr>
                <w:ilvl w:val="0"/>
                <w:numId w:val="1"/>
              </w:numPr>
              <w:jc w:val="center"/>
            </w:pPr>
            <w:r>
              <w:rPr>
                <w:sz w:val="22"/>
                <w:szCs w:val="22"/>
              </w:rPr>
              <w:t>obręb 004 miasta Świdwin</w:t>
            </w:r>
          </w:p>
          <w:p w:rsidR="0077069B" w:rsidRDefault="00672E7E">
            <w:pPr>
              <w:pStyle w:val="Tretekstu"/>
            </w:pPr>
            <w:proofErr w:type="spellStart"/>
            <w:r>
              <w:rPr>
                <w:b/>
                <w:sz w:val="22"/>
                <w:szCs w:val="22"/>
              </w:rPr>
              <w:t>Kw</w:t>
            </w:r>
            <w:proofErr w:type="spellEnd"/>
            <w:r>
              <w:rPr>
                <w:b/>
                <w:sz w:val="22"/>
                <w:szCs w:val="22"/>
              </w:rPr>
              <w:t xml:space="preserve"> nr</w:t>
            </w:r>
          </w:p>
          <w:p w:rsidR="0077069B" w:rsidRDefault="00672E7E">
            <w:pPr>
              <w:pStyle w:val="Tretekstu"/>
            </w:pPr>
            <w:r>
              <w:rPr>
                <w:b/>
                <w:sz w:val="22"/>
                <w:szCs w:val="22"/>
              </w:rPr>
              <w:t>KO2B/00026443/7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0"/>
              <w:jc w:val="both"/>
            </w:pPr>
            <w:r>
              <w:rPr>
                <w:bCs/>
                <w:sz w:val="22"/>
                <w:szCs w:val="22"/>
              </w:rPr>
              <w:t xml:space="preserve">Działka położona jest w strefie peryferyjnej miasta Świdwin. Bezpośrednie sąsiedztwo stanowią tereny przemysłowe. Działka nie jest uzbrojona. Teren działki jest zróżnicowany oraz porośnięty roślinnością niską i wysoką. </w:t>
            </w:r>
          </w:p>
          <w:p w:rsidR="0077069B" w:rsidRDefault="00672E7E">
            <w:pPr>
              <w:pStyle w:val="Domylnie"/>
              <w:spacing w:after="200"/>
              <w:jc w:val="both"/>
            </w:pPr>
            <w:r>
              <w:rPr>
                <w:bCs/>
                <w:sz w:val="22"/>
                <w:szCs w:val="22"/>
              </w:rPr>
              <w:t xml:space="preserve">W miejscowym planie </w:t>
            </w:r>
            <w:r>
              <w:rPr>
                <w:bCs/>
                <w:sz w:val="22"/>
                <w:szCs w:val="22"/>
              </w:rPr>
              <w:t xml:space="preserve">zagospodarowania przestrzennego miasta Świdwin teren jest oznaczony jako 5 </w:t>
            </w:r>
            <w:proofErr w:type="spellStart"/>
            <w:r>
              <w:rPr>
                <w:bCs/>
                <w:sz w:val="22"/>
                <w:szCs w:val="22"/>
              </w:rPr>
              <w:t>P,S,UR</w:t>
            </w:r>
            <w:proofErr w:type="spellEnd"/>
            <w:r>
              <w:rPr>
                <w:bCs/>
                <w:sz w:val="22"/>
                <w:szCs w:val="22"/>
              </w:rPr>
              <w:t xml:space="preserve"> – teren przemysłowo- składowy i usług rzemiosła.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jc w:val="center"/>
            </w:pPr>
            <w:r>
              <w:rPr>
                <w:sz w:val="22"/>
                <w:szCs w:val="22"/>
              </w:rPr>
              <w:t>801.435,00 zł</w:t>
            </w:r>
          </w:p>
          <w:p w:rsidR="0077069B" w:rsidRDefault="00672E7E">
            <w:pPr>
              <w:pStyle w:val="Tretekstu"/>
            </w:pPr>
            <w:r>
              <w:rPr>
                <w:sz w:val="22"/>
                <w:szCs w:val="22"/>
              </w:rPr>
              <w:t>( w tym 23% VAT)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9B" w:rsidRDefault="00672E7E">
            <w:pPr>
              <w:pStyle w:val="Domylnie"/>
              <w:spacing w:after="200"/>
              <w:jc w:val="center"/>
            </w:pPr>
            <w:r>
              <w:rPr>
                <w:sz w:val="22"/>
                <w:szCs w:val="22"/>
              </w:rPr>
              <w:t>Sprzedaż w trybie przetargu</w:t>
            </w:r>
          </w:p>
        </w:tc>
      </w:tr>
    </w:tbl>
    <w:p w:rsidR="0077069B" w:rsidRDefault="00672E7E">
      <w:pPr>
        <w:pStyle w:val="Domylnie"/>
        <w:jc w:val="both"/>
      </w:pPr>
      <w:r>
        <w:rPr>
          <w:b/>
          <w:sz w:val="22"/>
          <w:szCs w:val="22"/>
          <w:u w:val="single"/>
        </w:rPr>
        <w:t>Adnotacje:</w:t>
      </w:r>
    </w:p>
    <w:p w:rsidR="0077069B" w:rsidRDefault="00672E7E">
      <w:pPr>
        <w:pStyle w:val="Tekstpodstawowy21"/>
        <w:numPr>
          <w:ilvl w:val="0"/>
          <w:numId w:val="4"/>
        </w:numPr>
        <w:tabs>
          <w:tab w:val="left" w:pos="804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552"/>
        </w:tabs>
        <w:spacing w:after="0" w:line="100" w:lineRule="atLeast"/>
        <w:ind w:left="96" w:firstLine="0"/>
        <w:jc w:val="both"/>
      </w:pPr>
      <w:r>
        <w:rPr>
          <w:sz w:val="22"/>
          <w:szCs w:val="22"/>
        </w:rPr>
        <w:t xml:space="preserve">Wykaz nieruchomości publikowany będzie w dniach od </w:t>
      </w:r>
      <w:r>
        <w:rPr>
          <w:sz w:val="22"/>
          <w:szCs w:val="22"/>
        </w:rPr>
        <w:t>08.10.2014r. do 29.10.2014r. na tablicy ogłoszeń Starostwa Powiatowego w Świdwinie, a także urzędów poszczególnych miast i gmin powiatu Świdwińskiego oraz na stronach internetowych www.bip.powiatswidwinski.pl oraz www.powiatswidwinski.pl, ponadto informacj</w:t>
      </w:r>
      <w:r>
        <w:rPr>
          <w:sz w:val="22"/>
          <w:szCs w:val="22"/>
        </w:rPr>
        <w:t>ę o wywieszeniu wykazu podano do publicznej wiadomości w prasie lokalnej.</w:t>
      </w:r>
    </w:p>
    <w:p w:rsidR="0077069B" w:rsidRDefault="00672E7E">
      <w:pPr>
        <w:pStyle w:val="Tekstpodstawowy21"/>
        <w:numPr>
          <w:ilvl w:val="0"/>
          <w:numId w:val="4"/>
        </w:numPr>
        <w:tabs>
          <w:tab w:val="left" w:pos="780"/>
          <w:tab w:val="left" w:pos="852"/>
          <w:tab w:val="left" w:pos="1212"/>
          <w:tab w:val="left" w:pos="1572"/>
          <w:tab w:val="left" w:pos="1932"/>
          <w:tab w:val="left" w:pos="2292"/>
          <w:tab w:val="left" w:pos="2652"/>
          <w:tab w:val="left" w:pos="3012"/>
          <w:tab w:val="left" w:pos="3372"/>
          <w:tab w:val="left" w:pos="3732"/>
          <w:tab w:val="left" w:pos="4092"/>
          <w:tab w:val="left" w:pos="4452"/>
          <w:tab w:val="left" w:pos="4812"/>
          <w:tab w:val="left" w:pos="5172"/>
          <w:tab w:val="left" w:pos="5532"/>
          <w:tab w:val="left" w:pos="5892"/>
          <w:tab w:val="left" w:pos="6252"/>
          <w:tab w:val="left" w:pos="6612"/>
          <w:tab w:val="left" w:pos="6972"/>
          <w:tab w:val="left" w:pos="7332"/>
          <w:tab w:val="left" w:pos="7692"/>
          <w:tab w:val="left" w:pos="8052"/>
          <w:tab w:val="left" w:pos="8412"/>
          <w:tab w:val="left" w:pos="8772"/>
          <w:tab w:val="left" w:pos="9132"/>
          <w:tab w:val="left" w:pos="9492"/>
          <w:tab w:val="left" w:pos="9504"/>
        </w:tabs>
        <w:spacing w:after="0" w:line="100" w:lineRule="atLeast"/>
        <w:ind w:left="72" w:firstLine="0"/>
        <w:jc w:val="both"/>
      </w:pPr>
      <w:r>
        <w:rPr>
          <w:sz w:val="22"/>
          <w:szCs w:val="22"/>
        </w:rPr>
        <w:t xml:space="preserve">Termin do złożenia wniosku przez osoby, którym w myśl art. 34 ust. 1 pkt. 1 i 2 ustawy z dnia 21 sierpnia 1997r. o gospodarce nieruchomościami (t. j. Dz. U. z 2014r. , poz. 518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 przysługuje  pierwszeństwo w nabyciu nieruchomości upływa z dniem 19.11.2014r.</w:t>
      </w:r>
    </w:p>
    <w:p w:rsidR="0077069B" w:rsidRDefault="00672E7E">
      <w:pPr>
        <w:pStyle w:val="Tekstpodstawowy21"/>
        <w:numPr>
          <w:ilvl w:val="0"/>
          <w:numId w:val="4"/>
        </w:numPr>
        <w:tabs>
          <w:tab w:val="left" w:pos="804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552"/>
        </w:tabs>
        <w:spacing w:after="0" w:line="100" w:lineRule="atLeast"/>
        <w:ind w:left="96" w:firstLine="0"/>
        <w:jc w:val="both"/>
      </w:pPr>
      <w:r>
        <w:rPr>
          <w:sz w:val="22"/>
          <w:szCs w:val="22"/>
        </w:rPr>
        <w:t>Szczegółowych informacji dotyczących w/w wykazu można zasięgnąć w Wydziale Geodezji i Gospodarki Nieruchomościami Starostwa Powiatowego w Świdwinie przy ul. Kołobrzeskiej</w:t>
      </w:r>
      <w:r>
        <w:rPr>
          <w:sz w:val="22"/>
          <w:szCs w:val="22"/>
        </w:rPr>
        <w:t xml:space="preserve"> 43 (pokój nr 11), lub telefonicznie pod numerem (094) 36-50-220.</w:t>
      </w:r>
    </w:p>
    <w:p w:rsidR="0077069B" w:rsidRDefault="0077069B">
      <w:pPr>
        <w:pStyle w:val="Tekstpodstawowy21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000"/>
        </w:tabs>
        <w:spacing w:after="0" w:line="100" w:lineRule="atLeast"/>
        <w:jc w:val="both"/>
      </w:pPr>
    </w:p>
    <w:p w:rsidR="0077069B" w:rsidRDefault="0077069B">
      <w:pPr>
        <w:pStyle w:val="Tekstpodstawowy21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000"/>
        </w:tabs>
        <w:spacing w:after="0" w:line="100" w:lineRule="atLeast"/>
        <w:jc w:val="both"/>
      </w:pPr>
    </w:p>
    <w:p w:rsidR="0077069B" w:rsidRDefault="0077069B">
      <w:pPr>
        <w:pStyle w:val="Tekstpodstawowy21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000"/>
        </w:tabs>
        <w:spacing w:after="0" w:line="100" w:lineRule="atLeast"/>
        <w:jc w:val="both"/>
      </w:pPr>
    </w:p>
    <w:p w:rsidR="0077069B" w:rsidRDefault="0077069B">
      <w:pPr>
        <w:pStyle w:val="Tekstpodstawowy21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000"/>
        </w:tabs>
        <w:spacing w:after="0" w:line="100" w:lineRule="atLeast"/>
        <w:jc w:val="both"/>
      </w:pPr>
    </w:p>
    <w:p w:rsidR="0077069B" w:rsidRDefault="0077069B">
      <w:pPr>
        <w:pStyle w:val="Tekstpodstawowy21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000"/>
        </w:tabs>
        <w:spacing w:after="0" w:line="100" w:lineRule="atLeast"/>
        <w:jc w:val="both"/>
      </w:pPr>
    </w:p>
    <w:p w:rsidR="0077069B" w:rsidRDefault="0077069B">
      <w:pPr>
        <w:pStyle w:val="Tekstpodstawowy21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000"/>
        </w:tabs>
        <w:spacing w:after="0" w:line="100" w:lineRule="atLeast"/>
        <w:jc w:val="both"/>
      </w:pPr>
    </w:p>
    <w:sectPr w:rsidR="0077069B" w:rsidSect="0077069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62"/>
    <w:multiLevelType w:val="multilevel"/>
    <w:tmpl w:val="56F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B904874"/>
    <w:multiLevelType w:val="multilevel"/>
    <w:tmpl w:val="7F3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370714F"/>
    <w:multiLevelType w:val="multilevel"/>
    <w:tmpl w:val="5A922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74A3483"/>
    <w:multiLevelType w:val="multilevel"/>
    <w:tmpl w:val="7D02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20D2402E"/>
    <w:multiLevelType w:val="multilevel"/>
    <w:tmpl w:val="C4AA5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18C2E9E"/>
    <w:multiLevelType w:val="multilevel"/>
    <w:tmpl w:val="26002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1F72B3C"/>
    <w:multiLevelType w:val="multilevel"/>
    <w:tmpl w:val="AD4E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24B57B43"/>
    <w:multiLevelType w:val="multilevel"/>
    <w:tmpl w:val="39668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7C85CE4"/>
    <w:multiLevelType w:val="multilevel"/>
    <w:tmpl w:val="ACB04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48B017A"/>
    <w:multiLevelType w:val="multilevel"/>
    <w:tmpl w:val="A566DC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7282593"/>
    <w:multiLevelType w:val="multilevel"/>
    <w:tmpl w:val="6CD0D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427A7D0E"/>
    <w:multiLevelType w:val="multilevel"/>
    <w:tmpl w:val="9298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45B16328"/>
    <w:multiLevelType w:val="multilevel"/>
    <w:tmpl w:val="7056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FE22FD"/>
    <w:multiLevelType w:val="multilevel"/>
    <w:tmpl w:val="1952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48110138"/>
    <w:multiLevelType w:val="multilevel"/>
    <w:tmpl w:val="ED22E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9F049F2"/>
    <w:multiLevelType w:val="multilevel"/>
    <w:tmpl w:val="F476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5FC71366"/>
    <w:multiLevelType w:val="multilevel"/>
    <w:tmpl w:val="DA50E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609343FB"/>
    <w:multiLevelType w:val="multilevel"/>
    <w:tmpl w:val="532A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672C6033"/>
    <w:multiLevelType w:val="multilevel"/>
    <w:tmpl w:val="8844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689C7705"/>
    <w:multiLevelType w:val="multilevel"/>
    <w:tmpl w:val="75001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11"/>
  </w:num>
  <w:num w:numId="6">
    <w:abstractNumId w:val="18"/>
  </w:num>
  <w:num w:numId="7">
    <w:abstractNumId w:val="0"/>
  </w:num>
  <w:num w:numId="8">
    <w:abstractNumId w:val="15"/>
  </w:num>
  <w:num w:numId="9">
    <w:abstractNumId w:val="17"/>
  </w:num>
  <w:num w:numId="10">
    <w:abstractNumId w:val="6"/>
  </w:num>
  <w:num w:numId="11">
    <w:abstractNumId w:val="12"/>
  </w:num>
  <w:num w:numId="12">
    <w:abstractNumId w:val="13"/>
  </w:num>
  <w:num w:numId="13">
    <w:abstractNumId w:val="19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characterSpacingControl w:val="doNotCompress"/>
  <w:compat>
    <w:useFELayout/>
  </w:compat>
  <w:rsids>
    <w:rsidRoot w:val="0077069B"/>
    <w:rsid w:val="0014316F"/>
    <w:rsid w:val="00672E7E"/>
    <w:rsid w:val="0077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7069B"/>
    <w:pPr>
      <w:keepNext/>
      <w:widowControl/>
      <w:jc w:val="both"/>
      <w:outlineLvl w:val="0"/>
    </w:pPr>
    <w:rPr>
      <w:rFonts w:eastAsia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7069B"/>
    <w:pPr>
      <w:widowControl w:val="0"/>
      <w:tabs>
        <w:tab w:val="left" w:pos="708"/>
      </w:tabs>
      <w:suppressAutoHyphens/>
      <w:spacing w:after="57" w:line="57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77069B"/>
    <w:rPr>
      <w:rFonts w:eastAsia="Times New Roman"/>
      <w:sz w:val="20"/>
      <w:lang w:eastAsia="ar-SA"/>
    </w:rPr>
  </w:style>
  <w:style w:type="character" w:customStyle="1" w:styleId="TytuZnak">
    <w:name w:val="Tytuł Znak"/>
    <w:basedOn w:val="Domylnaczcionkaakapitu"/>
    <w:rsid w:val="0077069B"/>
    <w:rPr>
      <w:rFonts w:eastAsia="Times New Roman"/>
      <w:b/>
      <w:lang w:eastAsia="ar-SA"/>
    </w:rPr>
  </w:style>
  <w:style w:type="character" w:customStyle="1" w:styleId="TekstpodstawowyZnak">
    <w:name w:val="Tekst podstawowy Znak"/>
    <w:basedOn w:val="Domylnaczcionkaakapitu"/>
    <w:rsid w:val="0077069B"/>
    <w:rPr>
      <w:rFonts w:eastAsia="Times New Roman"/>
      <w:sz w:val="24"/>
      <w:lang w:eastAsia="pl-PL"/>
    </w:rPr>
  </w:style>
  <w:style w:type="character" w:customStyle="1" w:styleId="ListLabel1">
    <w:name w:val="ListLabel 1"/>
    <w:rsid w:val="0077069B"/>
    <w:rPr>
      <w:rFonts w:cs="Times New Roman"/>
      <w:b w:val="0"/>
      <w:i w:val="0"/>
    </w:rPr>
  </w:style>
  <w:style w:type="character" w:customStyle="1" w:styleId="ListLabel2">
    <w:name w:val="ListLabel 2"/>
    <w:rsid w:val="0077069B"/>
    <w:rPr>
      <w:rFonts w:cs="Courier New"/>
    </w:rPr>
  </w:style>
  <w:style w:type="character" w:customStyle="1" w:styleId="ListLabel3">
    <w:name w:val="ListLabel 3"/>
    <w:rsid w:val="0077069B"/>
    <w:rPr>
      <w:rFonts w:cs="Times New Roman"/>
      <w:b w:val="0"/>
      <w:i w:val="0"/>
    </w:rPr>
  </w:style>
  <w:style w:type="character" w:customStyle="1" w:styleId="ListLabel4">
    <w:name w:val="ListLabel 4"/>
    <w:rsid w:val="0077069B"/>
    <w:rPr>
      <w:rFonts w:cs="Courier New"/>
    </w:rPr>
  </w:style>
  <w:style w:type="character" w:customStyle="1" w:styleId="ListLabel5">
    <w:name w:val="ListLabel 5"/>
    <w:rsid w:val="0077069B"/>
    <w:rPr>
      <w:rFonts w:cs="Wingdings"/>
    </w:rPr>
  </w:style>
  <w:style w:type="character" w:customStyle="1" w:styleId="ListLabel6">
    <w:name w:val="ListLabel 6"/>
    <w:rsid w:val="0077069B"/>
    <w:rPr>
      <w:rFonts w:cs="Symbol"/>
    </w:rPr>
  </w:style>
  <w:style w:type="character" w:customStyle="1" w:styleId="ListLabel7">
    <w:name w:val="ListLabel 7"/>
    <w:rsid w:val="0077069B"/>
    <w:rPr>
      <w:rFonts w:cs="Times New Roman"/>
      <w:b w:val="0"/>
      <w:i w:val="0"/>
    </w:rPr>
  </w:style>
  <w:style w:type="character" w:customStyle="1" w:styleId="ListLabel8">
    <w:name w:val="ListLabel 8"/>
    <w:rsid w:val="0077069B"/>
    <w:rPr>
      <w:rFonts w:cs="Courier New"/>
    </w:rPr>
  </w:style>
  <w:style w:type="character" w:customStyle="1" w:styleId="ListLabel9">
    <w:name w:val="ListLabel 9"/>
    <w:rsid w:val="0077069B"/>
    <w:rPr>
      <w:rFonts w:cs="Wingdings"/>
    </w:rPr>
  </w:style>
  <w:style w:type="character" w:customStyle="1" w:styleId="ListLabel10">
    <w:name w:val="ListLabel 10"/>
    <w:rsid w:val="0077069B"/>
    <w:rPr>
      <w:rFonts w:cs="Symbol"/>
    </w:rPr>
  </w:style>
  <w:style w:type="character" w:customStyle="1" w:styleId="ListLabel11">
    <w:name w:val="ListLabel 11"/>
    <w:rsid w:val="0077069B"/>
    <w:rPr>
      <w:rFonts w:cs="Times New Roman"/>
      <w:b w:val="0"/>
      <w:i w:val="0"/>
    </w:rPr>
  </w:style>
  <w:style w:type="character" w:customStyle="1" w:styleId="ListLabel12">
    <w:name w:val="ListLabel 12"/>
    <w:rsid w:val="0077069B"/>
    <w:rPr>
      <w:rFonts w:cs="Courier New"/>
    </w:rPr>
  </w:style>
  <w:style w:type="character" w:customStyle="1" w:styleId="ListLabel13">
    <w:name w:val="ListLabel 13"/>
    <w:rsid w:val="0077069B"/>
    <w:rPr>
      <w:rFonts w:cs="Wingdings"/>
    </w:rPr>
  </w:style>
  <w:style w:type="character" w:customStyle="1" w:styleId="ListLabel14">
    <w:name w:val="ListLabel 14"/>
    <w:rsid w:val="0077069B"/>
    <w:rPr>
      <w:rFonts w:cs="Symbol"/>
    </w:rPr>
  </w:style>
  <w:style w:type="character" w:customStyle="1" w:styleId="ListLabel15">
    <w:name w:val="ListLabel 15"/>
    <w:rsid w:val="0077069B"/>
    <w:rPr>
      <w:rFonts w:cs="Times New Roman"/>
      <w:b w:val="0"/>
      <w:i w:val="0"/>
    </w:rPr>
  </w:style>
  <w:style w:type="character" w:customStyle="1" w:styleId="ListLabel16">
    <w:name w:val="ListLabel 16"/>
    <w:rsid w:val="0077069B"/>
    <w:rPr>
      <w:rFonts w:cs="Courier New"/>
    </w:rPr>
  </w:style>
  <w:style w:type="character" w:customStyle="1" w:styleId="ListLabel17">
    <w:name w:val="ListLabel 17"/>
    <w:rsid w:val="0077069B"/>
    <w:rPr>
      <w:rFonts w:cs="Wingdings"/>
    </w:rPr>
  </w:style>
  <w:style w:type="character" w:customStyle="1" w:styleId="ListLabel18">
    <w:name w:val="ListLabel 18"/>
    <w:rsid w:val="0077069B"/>
    <w:rPr>
      <w:rFonts w:cs="Symbol"/>
    </w:rPr>
  </w:style>
  <w:style w:type="character" w:customStyle="1" w:styleId="ListLabel19">
    <w:name w:val="ListLabel 19"/>
    <w:rsid w:val="0077069B"/>
    <w:rPr>
      <w:rFonts w:cs="Times New Roman"/>
      <w:b w:val="0"/>
      <w:i w:val="0"/>
    </w:rPr>
  </w:style>
  <w:style w:type="character" w:customStyle="1" w:styleId="ListLabel20">
    <w:name w:val="ListLabel 20"/>
    <w:rsid w:val="0077069B"/>
    <w:rPr>
      <w:rFonts w:cs="Courier New"/>
    </w:rPr>
  </w:style>
  <w:style w:type="character" w:customStyle="1" w:styleId="ListLabel21">
    <w:name w:val="ListLabel 21"/>
    <w:rsid w:val="0077069B"/>
    <w:rPr>
      <w:rFonts w:cs="Wingdings"/>
    </w:rPr>
  </w:style>
  <w:style w:type="character" w:customStyle="1" w:styleId="ListLabel22">
    <w:name w:val="ListLabel 22"/>
    <w:rsid w:val="0077069B"/>
    <w:rPr>
      <w:rFonts w:cs="Symbol"/>
    </w:rPr>
  </w:style>
  <w:style w:type="character" w:customStyle="1" w:styleId="ListLabel23">
    <w:name w:val="ListLabel 23"/>
    <w:rsid w:val="0077069B"/>
    <w:rPr>
      <w:rFonts w:cs="Times New Roman"/>
      <w:b w:val="0"/>
      <w:i w:val="0"/>
    </w:rPr>
  </w:style>
  <w:style w:type="character" w:customStyle="1" w:styleId="ListLabel24">
    <w:name w:val="ListLabel 24"/>
    <w:rsid w:val="0077069B"/>
    <w:rPr>
      <w:rFonts w:cs="Courier New"/>
    </w:rPr>
  </w:style>
  <w:style w:type="character" w:customStyle="1" w:styleId="ListLabel25">
    <w:name w:val="ListLabel 25"/>
    <w:rsid w:val="0077069B"/>
    <w:rPr>
      <w:rFonts w:cs="Wingdings"/>
    </w:rPr>
  </w:style>
  <w:style w:type="character" w:customStyle="1" w:styleId="ListLabel26">
    <w:name w:val="ListLabel 26"/>
    <w:rsid w:val="0077069B"/>
    <w:rPr>
      <w:rFonts w:cs="Symbol"/>
    </w:rPr>
  </w:style>
  <w:style w:type="character" w:customStyle="1" w:styleId="ListLabel27">
    <w:name w:val="ListLabel 27"/>
    <w:rsid w:val="0077069B"/>
    <w:rPr>
      <w:rFonts w:cs="Times New Roman"/>
      <w:b w:val="0"/>
      <w:i w:val="0"/>
    </w:rPr>
  </w:style>
  <w:style w:type="character" w:customStyle="1" w:styleId="ListLabel28">
    <w:name w:val="ListLabel 28"/>
    <w:rsid w:val="0077069B"/>
    <w:rPr>
      <w:rFonts w:cs="Courier New"/>
    </w:rPr>
  </w:style>
  <w:style w:type="character" w:customStyle="1" w:styleId="ListLabel29">
    <w:name w:val="ListLabel 29"/>
    <w:rsid w:val="0077069B"/>
    <w:rPr>
      <w:rFonts w:cs="Wingdings"/>
    </w:rPr>
  </w:style>
  <w:style w:type="character" w:customStyle="1" w:styleId="ListLabel30">
    <w:name w:val="ListLabel 30"/>
    <w:rsid w:val="0077069B"/>
    <w:rPr>
      <w:rFonts w:cs="Symbol"/>
    </w:rPr>
  </w:style>
  <w:style w:type="character" w:customStyle="1" w:styleId="ListLabel31">
    <w:name w:val="ListLabel 31"/>
    <w:rsid w:val="0077069B"/>
    <w:rPr>
      <w:rFonts w:cs="Times New Roman"/>
      <w:b w:val="0"/>
      <w:i w:val="0"/>
    </w:rPr>
  </w:style>
  <w:style w:type="character" w:customStyle="1" w:styleId="ListLabel32">
    <w:name w:val="ListLabel 32"/>
    <w:rsid w:val="0077069B"/>
    <w:rPr>
      <w:rFonts w:cs="Courier New"/>
    </w:rPr>
  </w:style>
  <w:style w:type="character" w:customStyle="1" w:styleId="ListLabel33">
    <w:name w:val="ListLabel 33"/>
    <w:rsid w:val="0077069B"/>
    <w:rPr>
      <w:rFonts w:cs="Wingdings"/>
    </w:rPr>
  </w:style>
  <w:style w:type="character" w:customStyle="1" w:styleId="ListLabel34">
    <w:name w:val="ListLabel 34"/>
    <w:rsid w:val="0077069B"/>
    <w:rPr>
      <w:rFonts w:cs="Symbol"/>
    </w:rPr>
  </w:style>
  <w:style w:type="character" w:customStyle="1" w:styleId="ListLabel35">
    <w:name w:val="ListLabel 35"/>
    <w:rsid w:val="0077069B"/>
    <w:rPr>
      <w:rFonts w:cs="Times New Roman"/>
      <w:b w:val="0"/>
      <w:i w:val="0"/>
    </w:rPr>
  </w:style>
  <w:style w:type="character" w:customStyle="1" w:styleId="ListLabel36">
    <w:name w:val="ListLabel 36"/>
    <w:rsid w:val="0077069B"/>
    <w:rPr>
      <w:rFonts w:cs="Courier New"/>
    </w:rPr>
  </w:style>
  <w:style w:type="character" w:customStyle="1" w:styleId="ListLabel37">
    <w:name w:val="ListLabel 37"/>
    <w:rsid w:val="0077069B"/>
    <w:rPr>
      <w:rFonts w:cs="Wingdings"/>
    </w:rPr>
  </w:style>
  <w:style w:type="character" w:customStyle="1" w:styleId="ListLabel38">
    <w:name w:val="ListLabel 38"/>
    <w:rsid w:val="0077069B"/>
    <w:rPr>
      <w:rFonts w:cs="Symbol"/>
    </w:rPr>
  </w:style>
  <w:style w:type="character" w:customStyle="1" w:styleId="ListLabel39">
    <w:name w:val="ListLabel 39"/>
    <w:rsid w:val="0077069B"/>
    <w:rPr>
      <w:rFonts w:cs="Times New Roman"/>
      <w:b w:val="0"/>
      <w:i w:val="0"/>
    </w:rPr>
  </w:style>
  <w:style w:type="character" w:customStyle="1" w:styleId="ListLabel40">
    <w:name w:val="ListLabel 40"/>
    <w:rsid w:val="0077069B"/>
    <w:rPr>
      <w:rFonts w:cs="Courier New"/>
    </w:rPr>
  </w:style>
  <w:style w:type="character" w:customStyle="1" w:styleId="ListLabel41">
    <w:name w:val="ListLabel 41"/>
    <w:rsid w:val="0077069B"/>
    <w:rPr>
      <w:rFonts w:cs="Wingdings"/>
    </w:rPr>
  </w:style>
  <w:style w:type="character" w:customStyle="1" w:styleId="ListLabel42">
    <w:name w:val="ListLabel 42"/>
    <w:rsid w:val="0077069B"/>
    <w:rPr>
      <w:rFonts w:cs="Symbol"/>
    </w:rPr>
  </w:style>
  <w:style w:type="character" w:customStyle="1" w:styleId="czeinternetowe">
    <w:name w:val="Łącze internetowe"/>
    <w:rsid w:val="0077069B"/>
    <w:rPr>
      <w:color w:val="000080"/>
      <w:u w:val="single"/>
      <w:lang w:val="pl-PL" w:eastAsia="pl-PL" w:bidi="pl-PL"/>
    </w:rPr>
  </w:style>
  <w:style w:type="paragraph" w:styleId="Nagwek">
    <w:name w:val="header"/>
    <w:basedOn w:val="Domylnie"/>
    <w:next w:val="Tretekstu"/>
    <w:rsid w:val="007706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7069B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Lista">
    <w:name w:val="List"/>
    <w:basedOn w:val="Tretekstu"/>
    <w:rsid w:val="0077069B"/>
    <w:rPr>
      <w:rFonts w:cs="Mangal"/>
    </w:rPr>
  </w:style>
  <w:style w:type="paragraph" w:styleId="Podpis">
    <w:name w:val="Signature"/>
    <w:basedOn w:val="Domylnie"/>
    <w:rsid w:val="007706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7069B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77069B"/>
    <w:pPr>
      <w:widowControl/>
      <w:jc w:val="center"/>
    </w:pPr>
    <w:rPr>
      <w:rFonts w:eastAsia="Times New Roman"/>
      <w:b/>
      <w:bCs/>
      <w:sz w:val="28"/>
      <w:szCs w:val="20"/>
      <w:lang w:eastAsia="ar-SA"/>
    </w:rPr>
  </w:style>
  <w:style w:type="paragraph" w:styleId="Podtytu">
    <w:name w:val="Subtitle"/>
    <w:basedOn w:val="Nagwek"/>
    <w:next w:val="Tretekstu"/>
    <w:rsid w:val="0077069B"/>
    <w:pPr>
      <w:jc w:val="center"/>
    </w:pPr>
    <w:rPr>
      <w:i/>
      <w:iCs/>
    </w:rPr>
  </w:style>
  <w:style w:type="paragraph" w:customStyle="1" w:styleId="Tekstpodstawowy21">
    <w:name w:val="Tekst podstawowy 21"/>
    <w:basedOn w:val="Domylnie"/>
    <w:rsid w:val="0077069B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Domylnie"/>
    <w:rsid w:val="0077069B"/>
    <w:pPr>
      <w:ind w:left="720"/>
    </w:pPr>
  </w:style>
  <w:style w:type="paragraph" w:customStyle="1" w:styleId="Zawartotabeli">
    <w:name w:val="Zawartość tabeli"/>
    <w:basedOn w:val="Domylnie"/>
    <w:rsid w:val="007706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2014-10-06T09:11:00Z</cp:lastPrinted>
  <dcterms:created xsi:type="dcterms:W3CDTF">2014-10-15T09:30:00Z</dcterms:created>
  <dcterms:modified xsi:type="dcterms:W3CDTF">2014-10-15T09:31:00Z</dcterms:modified>
</cp:coreProperties>
</file>