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Załącznik nr 2</w:t>
      </w:r>
    </w:p>
    <w:p w:rsid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Do Uchwały Zarządu Powiatu</w:t>
      </w:r>
    </w:p>
    <w:p w:rsid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Nr 2/4/14 z dnia 29.12.2014r.</w:t>
      </w:r>
      <w:bookmarkStart w:id="0" w:name="_GoBack"/>
      <w:bookmarkEnd w:id="0"/>
    </w:p>
    <w:p w:rsid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9C371E">
        <w:rPr>
          <w:rFonts w:ascii="Times New Roman" w:hAnsi="Times New Roman" w:cs="Times New Roman"/>
          <w:sz w:val="20"/>
          <w:szCs w:val="20"/>
        </w:rPr>
        <w:t>Objaśnienia wartości przyjętych w wieloletniej prognozie finansowej</w:t>
      </w:r>
    </w:p>
    <w:p w:rsidR="009C371E" w:rsidRPr="009C371E" w:rsidRDefault="009C371E" w:rsidP="009C371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center"/>
        <w:rPr>
          <w:rFonts w:ascii="Times New Roman" w:hAnsi="Times New Roman" w:cs="Times New Roman"/>
          <w:sz w:val="20"/>
          <w:szCs w:val="20"/>
        </w:rPr>
      </w:pPr>
      <w:r w:rsidRPr="009C371E">
        <w:rPr>
          <w:rFonts w:ascii="Times New Roman" w:hAnsi="Times New Roman" w:cs="Times New Roman"/>
          <w:sz w:val="20"/>
          <w:szCs w:val="20"/>
        </w:rPr>
        <w:t>Powiatu Świdwińskiego na lata  2014 – 2024</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Wieloletnia prognoza finansowa obejmuje okres roku budżetowego 2014 oraz  trzech kolejnych lat. Okres objęty wieloletnią prognozą finansową nie jest jednak krótszy niż okres, na który zaciągnięto  oraz planuje się zaciągnąć zobowiązania, w przypadku Powiatu Świdwińskiego prognoza obejmuje lata 2014 – 2024.</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 xml:space="preserve">Celem przygotowania wieloletniej prognozy finansowej jest przedstawienie kondycji finansowej budżetu, możliwości realizacji planowanych inwestycji,  oraz   możliwości                        i zdolności do  obsługi zobowiązań  ( możliwości ich regulowania w określonym, planowanym okresie ) jak i obraz utrzymania płynności finansowej.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Podstawowe składniki wieloletniej prognozy finansowej  to  kwoty  dochodów i wydatków,   w podziale na bieżące i majątkowe.</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Objaśnienia  wartości przyjętych w   WPF, dokonano w dwóch okresach czasowych:</w:t>
      </w:r>
    </w:p>
    <w:p w:rsidR="009C371E" w:rsidRPr="009C371E" w:rsidRDefault="009C371E" w:rsidP="009C371E">
      <w:pPr>
        <w:widowControl w:val="0"/>
        <w:numPr>
          <w:ilvl w:val="0"/>
          <w:numId w:val="1"/>
        </w:num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Okres czasowy wynikający z ustawy o finansach publicznych tj. rok budżetowy 2014 oraz trzy kolejne lata tj. rok  2015– 2017.</w:t>
      </w:r>
    </w:p>
    <w:p w:rsidR="009C371E" w:rsidRPr="009C371E" w:rsidRDefault="009C371E" w:rsidP="009C371E">
      <w:pPr>
        <w:widowControl w:val="0"/>
        <w:numPr>
          <w:ilvl w:val="0"/>
          <w:numId w:val="1"/>
        </w:num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Okres czasowy na jaki zaciągnięto zobowiązania tj. lata 2014 - 2024</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r w:rsidRPr="009C371E">
        <w:rPr>
          <w:rFonts w:ascii="Times New Roman" w:hAnsi="Times New Roman" w:cs="Times New Roman"/>
          <w:b/>
          <w:bCs/>
          <w:sz w:val="20"/>
          <w:szCs w:val="20"/>
        </w:rPr>
        <w:t>Dochody:</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u w:val="single"/>
        </w:rPr>
        <w:t>Dochody bieżące</w:t>
      </w:r>
      <w:r w:rsidRPr="009C371E">
        <w:rPr>
          <w:rFonts w:ascii="Times New Roman" w:hAnsi="Times New Roman" w:cs="Times New Roman"/>
          <w:sz w:val="20"/>
          <w:szCs w:val="20"/>
        </w:rPr>
        <w:t xml:space="preserve"> ( kol. 1.1) – wysokość dochodów  bieżących, w latach   2015  do 2017,  ustalono w oparciu o  wskaźnik  wzrostu  rok do roku – średnio 2%.</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Dochody wykazane w  2015 r.,  zostały  powiększone ( o 2.500.000 zł ) o kwotę „uwolnionych” środków finansowych , które obecnie odprowadzane są na „Fundusz remontowy”  w celu utrzymania  projektu Nr PL0156(PCR)  zgodnie z umową PL0156/E1/2.1.3/030/07.</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Nadwyżka roku 2015 i 2016 zostanie przeznaczona na spłaty rat kredytów już zaciągniętych.</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u w:val="single"/>
        </w:rPr>
      </w:pPr>
      <w:r w:rsidRPr="009C371E">
        <w:rPr>
          <w:rFonts w:ascii="Times New Roman" w:hAnsi="Times New Roman" w:cs="Times New Roman"/>
          <w:sz w:val="20"/>
          <w:szCs w:val="20"/>
          <w:u w:val="single"/>
        </w:rPr>
        <w:t xml:space="preserve">Dochody majątkowe (kol.1.2. )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 xml:space="preserve">Wielkości dochodów majątkowych przyjęte do WPF  w latach 2014 – 2017,  ustalono w oparciu  o  wysokość  współfinansowania środkami zewnętrznym , np. środkami z Unii Europejskiej , Funduszami Szwajcarskimi i Norweskimi, innymi dochodami zewnętrznymi, oraz dochody stanowiące udział  ( dofinansowanie )  gmin, na terenie których  będą realizowane inwestycje, głównie „drogowe”.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W latach objętych WPF nie planuje się dochodów ze sprzedaży mienia powiatu.</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Po roku 2017 nie przyjęto wielkości dochodów majątkowych z uwagi na nieplanowane wydatki majątkowe, ponadto brak jest  informacji na temat pozyskiwania środków unijnych,  otrzymania dotacji z budżetu państwa, oraz pozyskiwania innych środków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 xml:space="preserve">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r w:rsidRPr="009C371E">
        <w:rPr>
          <w:rFonts w:ascii="Times New Roman" w:hAnsi="Times New Roman" w:cs="Times New Roman"/>
          <w:b/>
          <w:bCs/>
          <w:sz w:val="20"/>
          <w:szCs w:val="20"/>
        </w:rPr>
        <w:t>Wydatki:</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u w:val="single"/>
        </w:rPr>
        <w:t xml:space="preserve">Wydatki bieżące </w:t>
      </w:r>
      <w:r w:rsidRPr="009C371E">
        <w:rPr>
          <w:rFonts w:ascii="Times New Roman" w:hAnsi="Times New Roman" w:cs="Times New Roman"/>
          <w:sz w:val="20"/>
          <w:szCs w:val="20"/>
        </w:rPr>
        <w:t>( kol.2.1 )  ustalono w oparciu o wskaźnik wzrostu w poszczególnych latach, biorąc pod uwagę  dynamikę wzrostu cen towarów  i usług konsumpcyjnych, od 2 do 3%.</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W przypadku planowania wydatków,  brano pod uwagę wielkość zadłużenia i związane z tym  koszty obsługi długu  ( przyjęto średniorocznie oprocentowanie w wysokości 4 % ).  Ważnym czynnikiem kształtującym wysokość  planowanych  wydatków bieżących w latach 2014-2017, są zaplanowane wydatki majątkowe a więc i  zaangażowanie  środków  bieżących w planowanych inwestycjach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u w:val="single"/>
        </w:rPr>
      </w:pPr>
      <w:r w:rsidRPr="009C371E">
        <w:rPr>
          <w:rFonts w:ascii="Times New Roman" w:hAnsi="Times New Roman" w:cs="Times New Roman"/>
          <w:sz w:val="20"/>
          <w:szCs w:val="20"/>
          <w:u w:val="single"/>
        </w:rPr>
        <w:t xml:space="preserve">Wydatki bieżące – z tego z tytułu poręczeń i gwarancji ( kol.2.1.1 )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jest to kwota poręczonego kredytu dla Wspólnoty Mieszkaniowej Szczecińska 87A w Świdwinie, w której Powiat Świdwiński posiada udział. Poręczenie to obowiązuje do czerwca 2016 roku.</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u w:val="single"/>
        </w:rPr>
        <w:t>Wydatki majątkowe</w:t>
      </w:r>
      <w:r w:rsidRPr="009C371E">
        <w:rPr>
          <w:rFonts w:ascii="Times New Roman" w:hAnsi="Times New Roman" w:cs="Times New Roman"/>
          <w:sz w:val="20"/>
          <w:szCs w:val="20"/>
        </w:rPr>
        <w:t xml:space="preserve"> ( kol.2.2 ) ujęte w WPF zaplanowano w oparciu o wieloletni plan inwestycyjny powiatu na lata 2014 - 2017 ( wg załączonych tabel ). Nie planowano wydatków majątkowych po roku 2017.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 xml:space="preserve">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b/>
          <w:bCs/>
          <w:sz w:val="20"/>
          <w:szCs w:val="20"/>
        </w:rPr>
        <w:t>Wynik budżetu</w:t>
      </w:r>
      <w:r w:rsidRPr="009C371E">
        <w:rPr>
          <w:rFonts w:ascii="Times New Roman" w:hAnsi="Times New Roman" w:cs="Times New Roman"/>
          <w:sz w:val="20"/>
          <w:szCs w:val="20"/>
        </w:rPr>
        <w:t xml:space="preserve">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 xml:space="preserve"> Kol. 3.- W wyniku zaplanowanych  dochodów i wydatków  w roku 2014 budżet zamknie się deficytem budżetowym w wysokości 2.676.978 zł, po roku 2014 budżet zamyka się   nadwyżką,  która przeznaczana jest na spłatę zadłużenia.</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b/>
          <w:bCs/>
          <w:sz w:val="20"/>
          <w:szCs w:val="20"/>
        </w:rPr>
        <w:t>Przychody budżetu</w:t>
      </w:r>
      <w:r w:rsidRPr="009C371E">
        <w:rPr>
          <w:rFonts w:ascii="Times New Roman" w:hAnsi="Times New Roman" w:cs="Times New Roman"/>
          <w:sz w:val="20"/>
          <w:szCs w:val="20"/>
        </w:rPr>
        <w:t xml:space="preserve"> wykazane w kol 4. ustalono w oparciu o planowany w 2014 r. do zaciągnięcia  kredyt w wysokości 2.000.000 zł,  oraz wolne środki  z 2013 r. w wysokości 2.546.978 zł.</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b/>
          <w:bCs/>
          <w:sz w:val="20"/>
          <w:szCs w:val="20"/>
        </w:rPr>
        <w:t>Rozchody budżetu</w:t>
      </w:r>
      <w:r w:rsidRPr="009C371E">
        <w:rPr>
          <w:rFonts w:ascii="Times New Roman" w:hAnsi="Times New Roman" w:cs="Times New Roman"/>
          <w:sz w:val="20"/>
          <w:szCs w:val="20"/>
        </w:rPr>
        <w:t xml:space="preserve"> wykazane w kol. 5. ustalono w oparciu o wysokość rat spłaty zaciągniętych kredytów przed rokiem 2013 i w 2014 roku 2.000.000 zł ( spłata na 5 lat w latach 2015 – 2019 )  w kwotach określonych umową.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b/>
          <w:bCs/>
          <w:sz w:val="20"/>
          <w:szCs w:val="20"/>
        </w:rPr>
        <w:t>Kwota zadłużenia</w:t>
      </w:r>
      <w:r w:rsidRPr="009C371E">
        <w:rPr>
          <w:rFonts w:ascii="Times New Roman" w:hAnsi="Times New Roman" w:cs="Times New Roman"/>
          <w:sz w:val="20"/>
          <w:szCs w:val="20"/>
        </w:rPr>
        <w:t xml:space="preserve"> powiatu wykazana w kol. 6.  wynika z wielkości kwot zaciągniętych i spłacanych kredytów. Od 2015 roku nie planuje się zaciągać nowych kredytów, więc zadłużenie będzie malało proporcjonalnie  do dokonywanych spłat.</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 xml:space="preserve">W kolumnie 9.6  wykazano wskaźnik określający  wysokość spłaty   kredytu  przez Powiat z uwzględnieniem wyłączeń.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W kolumnie  9.7 wykazano dopuszczalny wskaźnik spłaty zobowiązań przez Powiat ( tzw. indywidualny  wskaźnik spłaty zadłużenia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 xml:space="preserve">Z przedstawionych wskaźników wynika , że zaplanowane w roku 2014 i kolejnych latach,  zobowiązania dłużne do dochodów ogółem,  mieszczą się granicach dopuszczonych przez ustawę o finansach publicznych i  Powiat  będzie w stanie pokryć swoje zobowiązania z tytułu zaciąganych kredytów.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Zobowiązanie powiatu ( wykazane w kol. 6 )  na koniec 2014 roku będzie wynosiło 11.020.000zł, i  może być spłacane w wielkościach  zaplanowanych ( kol. 5.1 ) gdyż mieści się w  dopuszczalnym  wskaźniku spłaty zobowiązań .</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9C371E" w:rsidRPr="009C371E" w:rsidRDefault="009C371E" w:rsidP="009C37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9C371E">
        <w:rPr>
          <w:rFonts w:ascii="Times New Roman" w:hAnsi="Times New Roman" w:cs="Times New Roman"/>
          <w:sz w:val="20"/>
          <w:szCs w:val="20"/>
        </w:rPr>
        <w:t>Zgodnie z pismem Ministra Finansów Departament Długu Publicznego nr DP14/MKT/657/TIZ/2012/799 z dnia 24 lutego 2012 roku, w sprawozdaniu RB-Z za IV kwartał 2013 roku i  następne kwartały 2014 roku, zostały ujęte zobowiązania Funduszu Pracy. Zobowiązania wymagalne wykazane w sprawozdaniu RB-Z wynikają z niepodjętych świadczeń do wypłaty w banku. Przez okres 6 m-</w:t>
      </w:r>
      <w:proofErr w:type="spellStart"/>
      <w:r w:rsidRPr="009C371E">
        <w:rPr>
          <w:rFonts w:ascii="Times New Roman" w:hAnsi="Times New Roman" w:cs="Times New Roman"/>
          <w:sz w:val="20"/>
          <w:szCs w:val="20"/>
        </w:rPr>
        <w:t>cy</w:t>
      </w:r>
      <w:proofErr w:type="spellEnd"/>
      <w:r w:rsidRPr="009C371E">
        <w:rPr>
          <w:rFonts w:ascii="Times New Roman" w:hAnsi="Times New Roman" w:cs="Times New Roman"/>
          <w:sz w:val="20"/>
          <w:szCs w:val="20"/>
        </w:rPr>
        <w:t xml:space="preserve"> powyższe świadczenia stanowią zobowiązania wymagalne na żądanie, po tym okresie ulegają przedawnieniu - zgodnie z wyjaśnieniami złożonymi przez Dyrektora Powiatowego Urzędu Pracy w Świdwinie</w:t>
      </w:r>
      <w:r w:rsidRPr="009C371E">
        <w:rPr>
          <w:rFonts w:ascii="Arial" w:hAnsi="Arial" w:cs="Arial"/>
          <w:sz w:val="20"/>
          <w:szCs w:val="20"/>
        </w:rPr>
        <w:t>.</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Skarbnik Powiatu</w:t>
      </w:r>
    </w:p>
    <w:p w:rsidR="009C371E" w:rsidRPr="009C371E" w:rsidRDefault="009C371E" w:rsidP="009C3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9C371E">
        <w:rPr>
          <w:rFonts w:ascii="Times New Roman" w:hAnsi="Times New Roman" w:cs="Times New Roman"/>
          <w:sz w:val="20"/>
          <w:szCs w:val="20"/>
        </w:rPr>
        <w:t xml:space="preserve">Lucyna Miętek </w:t>
      </w:r>
    </w:p>
    <w:p w:rsidR="009C371E" w:rsidRPr="009C371E" w:rsidRDefault="009C371E" w:rsidP="009C371E">
      <w:pPr>
        <w:widowControl w:val="0"/>
        <w:autoSpaceDE w:val="0"/>
        <w:autoSpaceDN w:val="0"/>
        <w:adjustRightInd w:val="0"/>
        <w:spacing w:after="0" w:line="240" w:lineRule="auto"/>
        <w:rPr>
          <w:rFonts w:ascii="Times New Roman" w:hAnsi="Times New Roman" w:cs="Times New Roman"/>
          <w:sz w:val="20"/>
          <w:szCs w:val="20"/>
        </w:rPr>
      </w:pPr>
    </w:p>
    <w:p w:rsidR="00810418" w:rsidRDefault="00810418"/>
    <w:sectPr w:rsidR="00810418" w:rsidSect="009C371E">
      <w:pgSz w:w="11894" w:h="16834"/>
      <w:pgMar w:top="709" w:right="1440" w:bottom="1440" w:left="144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80" w:hanging="420"/>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1140" w:hanging="420"/>
      </w:pPr>
      <w:rPr>
        <w:rFonts w:ascii="Times New Roman" w:hAnsi="Times New Roman" w:cs="Times New Roman"/>
        <w:b w:val="0"/>
        <w:bCs w:val="0"/>
        <w:i w:val="0"/>
        <w:iCs w:val="0"/>
        <w:strike w:val="0"/>
        <w:color w:val="auto"/>
        <w:sz w:val="20"/>
        <w:szCs w:val="20"/>
        <w:u w:val="none"/>
      </w:rPr>
    </w:lvl>
    <w:lvl w:ilvl="2">
      <w:start w:val="1"/>
      <w:numFmt w:val="decimal"/>
      <w:lvlText w:val="%3)"/>
      <w:lvlJc w:val="left"/>
      <w:pPr>
        <w:ind w:left="1500" w:hanging="420"/>
      </w:pPr>
      <w:rPr>
        <w:rFonts w:ascii="Times New Roman" w:hAnsi="Times New Roman" w:cs="Times New Roman"/>
        <w:b w:val="0"/>
        <w:bCs w:val="0"/>
        <w:i w:val="0"/>
        <w:iCs w:val="0"/>
        <w:strike w:val="0"/>
        <w:color w:val="auto"/>
        <w:sz w:val="20"/>
        <w:szCs w:val="20"/>
        <w:u w:val="none"/>
      </w:rPr>
    </w:lvl>
    <w:lvl w:ilvl="3">
      <w:start w:val="1"/>
      <w:numFmt w:val="decimal"/>
      <w:lvlText w:val="%4)"/>
      <w:lvlJc w:val="left"/>
      <w:pPr>
        <w:ind w:left="1860" w:hanging="420"/>
      </w:pPr>
      <w:rPr>
        <w:rFonts w:ascii="Times New Roman" w:hAnsi="Times New Roman" w:cs="Times New Roman"/>
        <w:b w:val="0"/>
        <w:bCs w:val="0"/>
        <w:i w:val="0"/>
        <w:iCs w:val="0"/>
        <w:strike w:val="0"/>
        <w:color w:val="auto"/>
        <w:sz w:val="20"/>
        <w:szCs w:val="20"/>
        <w:u w:val="none"/>
      </w:rPr>
    </w:lvl>
    <w:lvl w:ilvl="4">
      <w:start w:val="1"/>
      <w:numFmt w:val="decimal"/>
      <w:lvlText w:val="%5)"/>
      <w:lvlJc w:val="left"/>
      <w:pPr>
        <w:ind w:left="2220" w:hanging="420"/>
      </w:pPr>
      <w:rPr>
        <w:rFonts w:ascii="Times New Roman" w:hAnsi="Times New Roman" w:cs="Times New Roman"/>
        <w:b w:val="0"/>
        <w:bCs w:val="0"/>
        <w:i w:val="0"/>
        <w:iCs w:val="0"/>
        <w:strike w:val="0"/>
        <w:color w:val="auto"/>
        <w:sz w:val="20"/>
        <w:szCs w:val="20"/>
        <w:u w:val="none"/>
      </w:rPr>
    </w:lvl>
    <w:lvl w:ilvl="5">
      <w:start w:val="1"/>
      <w:numFmt w:val="decimal"/>
      <w:lvlText w:val="%6)"/>
      <w:lvlJc w:val="left"/>
      <w:pPr>
        <w:ind w:left="2580" w:hanging="420"/>
      </w:pPr>
      <w:rPr>
        <w:rFonts w:ascii="Times New Roman" w:hAnsi="Times New Roman" w:cs="Times New Roman"/>
        <w:b w:val="0"/>
        <w:bCs w:val="0"/>
        <w:i w:val="0"/>
        <w:iCs w:val="0"/>
        <w:strike w:val="0"/>
        <w:color w:val="auto"/>
        <w:sz w:val="20"/>
        <w:szCs w:val="20"/>
        <w:u w:val="none"/>
      </w:rPr>
    </w:lvl>
    <w:lvl w:ilvl="6">
      <w:start w:val="1"/>
      <w:numFmt w:val="decimal"/>
      <w:lvlText w:val="%7)"/>
      <w:lvlJc w:val="left"/>
      <w:pPr>
        <w:ind w:left="2940" w:hanging="420"/>
      </w:pPr>
      <w:rPr>
        <w:rFonts w:ascii="Times New Roman" w:hAnsi="Times New Roman" w:cs="Times New Roman"/>
        <w:b w:val="0"/>
        <w:bCs w:val="0"/>
        <w:i w:val="0"/>
        <w:iCs w:val="0"/>
        <w:strike w:val="0"/>
        <w:color w:val="auto"/>
        <w:sz w:val="20"/>
        <w:szCs w:val="20"/>
        <w:u w:val="none"/>
      </w:rPr>
    </w:lvl>
    <w:lvl w:ilvl="7">
      <w:start w:val="1"/>
      <w:numFmt w:val="decimal"/>
      <w:lvlText w:val="%8)"/>
      <w:lvlJc w:val="left"/>
      <w:pPr>
        <w:ind w:left="3300" w:hanging="420"/>
      </w:pPr>
      <w:rPr>
        <w:rFonts w:ascii="Times New Roman" w:hAnsi="Times New Roman" w:cs="Times New Roman"/>
        <w:b w:val="0"/>
        <w:bCs w:val="0"/>
        <w:i w:val="0"/>
        <w:iCs w:val="0"/>
        <w:strike w:val="0"/>
        <w:color w:val="auto"/>
        <w:sz w:val="20"/>
        <w:szCs w:val="20"/>
        <w:u w:val="none"/>
      </w:rPr>
    </w:lvl>
    <w:lvl w:ilvl="8">
      <w:start w:val="1"/>
      <w:numFmt w:val="decimal"/>
      <w:lvlText w:val="%9)"/>
      <w:lvlJc w:val="left"/>
      <w:pPr>
        <w:ind w:left="3660" w:hanging="420"/>
      </w:pPr>
      <w:rPr>
        <w:rFonts w:ascii="Times New Roman" w:hAnsi="Times New Roman" w:cs="Times New Roman"/>
        <w:b w:val="0"/>
        <w:bCs w:val="0"/>
        <w:i w:val="0"/>
        <w:iCs w:val="0"/>
        <w:strike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1E"/>
    <w:rsid w:val="00810418"/>
    <w:rsid w:val="009C3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4B2AC-F973-4FAB-9D58-45FFBDEA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9C371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4881</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AniaB</dc:creator>
  <cp:keywords/>
  <dc:description/>
  <cp:lastModifiedBy>AniaB</cp:lastModifiedBy>
  <cp:revision>1</cp:revision>
  <dcterms:created xsi:type="dcterms:W3CDTF">2015-01-09T10:34:00Z</dcterms:created>
  <dcterms:modified xsi:type="dcterms:W3CDTF">2015-01-09T10:35:00Z</dcterms:modified>
</cp:coreProperties>
</file>